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PTAG — Eignungsprüfung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Eignungsprüfung erstreckt sich auf die wesentlichen Unterschiede, die zuvor bei der antragstellenden Person festgestellt worden sind.</w:t>
      </w:r>
    </w:p>
    <w:p>
      <w:r>
        <w:t xml:space="preserve">(2) Ist die Eignungsprüfung erfolgreich abgelegt worden, so wird die Berufsqualifikation anerkannt.</w:t>
      </w:r>
    </w:p>
    <w:p>
      <w:r>
        <w:rPr>
          <w:color w:val="555555"/>
          <w:sz w:val="17"/>
        </w:rPr>
        <w:t xml:space="preserve">Zitiervorschlag: § 39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