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PTAG — Ausgleich durch Berufserfahrung oder durch lebenslanges Lernen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Wesentliche Unterschiede können vollständig oder teilweise ausgeglichen werden durch Kenntnisse, Fähigkeiten und Kompetenzen, die die antragstellende Person erworben hat</w:t>
      </w:r>
    </w:p>
    <w:p>
      <w:pPr>
        <w:ind w:left="420"/>
      </w:pPr>
      <w:r>
        <w:t xml:space="preserve">1. durch Berufserfahrung im Rahmen ihrer tatsächlichen und rechtmäßigen Ausübung des Berufs der pharmazeutisch-technischen Assistentin und des pharmazeutisch-technischen Assistenten in Voll- oder Teilzeit oder</w:t>
      </w:r>
    </w:p>
    <w:p>
      <w:pPr>
        <w:ind w:left="420"/>
      </w:pPr>
      <w:r>
        <w:t xml:space="preserve">2. durch lebenslanges Lernen.</w:t>
      </w:r>
    </w:p>
    <w:p>
      <w:r>
        <w:t xml:space="preserve">(2) Die Anerkennung der nach Absatz 1 Nummer 2 erworbenen Kenntnisse, Fähigkeiten und Kompetenzen setzt voraus, dass sie von einer dafür in dem jeweiligen Staat zuständigen Stelle formell als gültig anerkannt worden sind.</w:t>
      </w:r>
    </w:p>
    <w:p>
      <w:r>
        <w:t xml:space="preserve">(3) Für die Anerkennung ist nicht entscheidend, in welchem Staat die jeweiligen Kenntnisse, Fähigkeiten und Kompetenzen erworben worden sind.</w:t>
      </w:r>
    </w:p>
    <w:p>
      <w:r>
        <w:rPr>
          <w:color w:val="555555"/>
          <w:sz w:val="17"/>
        </w:rPr>
        <w:t xml:space="preserve">Zitiervorschlag: § 35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