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PTAG — Nichtanwendbarkeit des Berufsqualifikationsfeststellungsgesetzes</w:t>
      </w:r>
    </w:p>
    <w:p>
      <w:r>
        <w:rPr>
          <w:color w:val="555555"/>
          <w:sz w:val="18"/>
        </w:rPr>
        <w:t xml:space="preserve">PTA-Berufsgesetz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Das Berufsqualifikationsfeststellungsgesetz findet mit Ausnahme des § 17 des Berufsqualifikationsfeststellungsgesetzes keine Anwendung.</w:t>
      </w:r>
    </w:p>
    <w:p>
      <w:r>
        <w:rPr>
          <w:color w:val="555555"/>
          <w:sz w:val="17"/>
        </w:rPr>
        <w:t xml:space="preserve">Zitiervorschlag: § 29 PTAG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https://recht.nulegal.eu/gesetze/PTAG/29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