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PTAG — Mindestanforderungen an die Schulen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Schulen müssen eine ordnungsgemäße schulische Ausbildung sicherstellen. Sie müssen folgende Anforderungen erfüllen:</w:t>
      </w:r>
    </w:p>
    <w:p>
      <w:pPr>
        <w:ind w:left="420"/>
      </w:pPr>
      <w:r>
        <w:t xml:space="preserve">1. eine hauptberufliche Leitung der Schule durch eine pädagogisch qualifizierte Person mit einer abgeschlossenen Hochschulausbildung auf Master- oder vergleichbarem Niveau,</w:t>
      </w:r>
    </w:p>
    <w:p>
      <w:pPr>
        <w:ind w:left="420"/>
      </w:pPr>
      <w:r>
        <w:t xml:space="preserve">2. den Einsatz von fachlich und pädagogisch qualifizierten Lehrkräften, insbesondere mit einer abgeschlossenen Hochschulausbildung in Pharmazie für die Durchführung des theoretischen und praktischen Unterrichts oder mit einer pharmazeutisch-technischen Ausbildung für die Mitwirkung an der Durchführung des praktischen Unterrichts und jeweils einer pädagogischen Zusatzqualifizierung,</w:t>
      </w:r>
    </w:p>
    <w:p>
      <w:pPr>
        <w:ind w:left="420"/>
      </w:pPr>
      <w:r>
        <w:t xml:space="preserve">3. eine im Verhältnis zur Zahl der Ausbildungsplätze angemessene Zahl hauptberuflicher Lehrkräfte und</w:t>
      </w:r>
    </w:p>
    <w:p>
      <w:pPr>
        <w:ind w:left="420"/>
      </w:pPr>
      <w:r>
        <w:t xml:space="preserve">4. das Vorhandensein der für die Ausbildung erforderlichen Räume und Einrichtungen sowie ausreichender Lehr- und Lernmittel.</w:t>
      </w:r>
    </w:p>
    <w:p>
      <w:r>
        <w:t xml:space="preserve">(2) Die pädagogische Qualifizierung nach Absatz 1 Satz 2 Nummer 1 und 2 kann für Apothekerinnen und Apotheker durch eine entsprechende Weiterbildung nach der Weiterbildungsordnung der zuständigen Apothekerkammer erfolgen; sie kann auch durch eine ausreichende Lehrerfahrung erbracht werden.</w:t>
      </w:r>
    </w:p>
    <w:p>
      <w:r>
        <w:t xml:space="preserve">(3) Die Länder können durch Landesrecht das Nähere zu den Anforderungen der Anerkennung bestimmen und darüber hinausgehende Anforderungen festlegen.</w:t>
      </w:r>
    </w:p>
    <w:p>
      <w:r>
        <w:rPr>
          <w:color w:val="555555"/>
          <w:sz w:val="17"/>
        </w:rPr>
        <w:t xml:space="preserve">Zitiervorschlag: § 16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