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PTA-APrV — Rücktritt von der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Tritt eine zu prüfende Person nach ihrer Zulassung von der Prüfung zurück, so hat sie die Gründe für ihren Rücktritt unverzüglich der oder dem Vorsitzenden des Prüfungsausschusses schriftlich mitzuteilen. Genehmigt der Vorsitzende den Rücktritt, so gilt die Prüfung als nicht unternommen. Die Genehmigung ist zu erteilen, wenn wichtige Gründe vorliegen. Im Falle einer Krankheit kann die Vorlage einer ärztlichen Bescheinigung verlangt werden.</w:t>
      </w:r>
    </w:p>
    <w:p>
      <w:r>
        <w:t xml:space="preserve">(2) Wird die Genehmigung für den Rücktritt nicht erteilt oder unterläßt es die zu prüfende Person, die Gründe für ihren Rücktritt unverzüglich mitzuteilen, so gilt die Prüfung als nicht bestanden. § 7 Abs. 4 gilt entsprechend.</w:t>
      </w:r>
    </w:p>
    <w:p>
      <w:r>
        <w:rPr>
          <w:color w:val="555555"/>
          <w:sz w:val="17"/>
        </w:rPr>
        <w:t xml:space="preserve">Zitiervorschlag: § 8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