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PStVO NRW (Nordrhein-Westfalen) — Inkrafttreten, Außerkrafttreten</w:t>
      </w:r>
    </w:p>
    <w:p>
      <w:r>
        <w:rPr>
          <w:color w:val="555555"/>
          <w:sz w:val="18"/>
        </w:rPr>
        <w:t xml:space="preserve">Personenstandsverordnung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1. Januar 2009 in Kraft. Gleichzeitig tritt die Verordnung zur Durchführung des Personenstandsgesetzes vom 10. Dezember 1974 (GV. NRW. S. 1578) außer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Für den Innenminister</w:t>
      </w:r>
    </w:p>
    <w:p>
      <w:r>
        <w:t xml:space="preserve">die Justizministerin</w:t>
      </w:r>
    </w:p>
    <w:p>
      <w:r>
        <w:rPr>
          <w:color w:val="555555"/>
          <w:sz w:val="17"/>
        </w:rPr>
        <w:t xml:space="preserve">Zitiervorschlag: § 7 PStVO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https://recht.nulegal.eu/gesetze/PStVO%20NRW/7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