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PStVO NRW (Nordrhein-Westfalen) — Übertragung der Verordnungsermächtigung</w:t>
      </w:r>
    </w:p>
    <w:p>
      <w:r>
        <w:rPr>
          <w:color w:val="555555"/>
          <w:sz w:val="18"/>
        </w:rPr>
        <w:t xml:space="preserve">Personenstandsverordnung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Verordnungsermächtigung nach § 74 Abs. 1 Nrn. 1, 2, 4 und 5 Personenstandsgesetz wird gemäß § 74 Abs. 2 Personenstandsgesetz auf das Innenministerium übertragen. Die Weiterübertragung umfasst auch die Befugnis zur Änderung und Aufhebung der §§ 1 Abs. 2 und 3, 2, 3 Abs. 1 - 3, 4 und 5.</w:t>
      </w:r>
    </w:p>
    <w:p>
      <w:r>
        <w:rPr>
          <w:color w:val="555555"/>
          <w:sz w:val="17"/>
        </w:rPr>
        <w:t xml:space="preserve">Zitiervorschlag: § 6 PStVO NRW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https://recht.nulegal.eu/gesetze/PStVO%20NRW/6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