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PStVO NRW (Nordrhein-Westfalen) — Aufbewahrung der Zweitbücher und Sicherungsregister</w:t>
      </w:r>
    </w:p>
    <w:p>
      <w:r>
        <w:rPr>
          <w:color w:val="555555"/>
          <w:sz w:val="18"/>
        </w:rPr>
        <w:t xml:space="preserve">Personenstandsverordnung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Zweitbücher, die zum 31. Dezember 2008 abgeschlossen wurden, sind den in § 2 bezeichneten unteren Aufsichtsbehörden zur Prüfung und weiteren Aufbewahrung zu übergeben. Die Aufsichtsbehörden übernehmen die Fortführung dieser Bücher, soweit sie nach den personenstandsrechtlichen Vorschriften fortzuführen sind.</w:t>
      </w:r>
    </w:p>
    <w:p>
      <w:r>
        <w:t xml:space="preserve">(2) Die Standesämter haben für eine Aufbewahrung der Sicherungsregister Sorge zu tragen, die den Anforderungen des § 7 Abs. 1 Personenstandsgesetz entspricht. Die demnach erforderliche räumliche Trennung zwischen Personenstands- und Sicherungsregister muss gewährleisten, dass eine Beschädigung oder ein Verlust des einen Registers nicht mit einer Beschädigung oder dem Verlust des anderen einhergeht.</w:t>
      </w:r>
    </w:p>
    <w:p>
      <w:r>
        <w:rPr>
          <w:color w:val="555555"/>
          <w:sz w:val="17"/>
        </w:rPr>
        <w:t xml:space="preserve">Zitiervorschlag: § 5 PStVO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https://recht.nulegal.eu/gesetze/PStVO%20NRW/5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