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PStV</w:t>
      </w:r>
    </w:p>
    <w:p>
      <w:r>
        <w:rPr>
          <w:color w:val="555555"/>
          <w:sz w:val="18"/>
        </w:rPr>
        <w:t xml:space="preserve">Personenstandsverordnung</w:t>
      </w:r>
    </w:p>
    <w:p>
      <w:r>
        <w:rPr>
          <w:color w:val="555555"/>
          <w:sz w:val="18"/>
        </w:rPr>
        <w:t xml:space="preserve">Stand: 10.06.2019 (konsolidierte Textfassung, kein amtliches Inkrafttretensdatum)</w:t>
      </w:r>
    </w:p>
    <w:p>
      <w:r>
        <w:t xml:space="preserve">Auf Grund des § 73 des Personenstandsgesetzes vom 19. Februar 2007 (BGBl. I S. 122), der durch Artikel 2 Abs. 2 Nr. 2 des Gesetzes vom 13. März 2008 (BGBl. I S. 313) geändert worden ist, des § 4 Abs. 3 Satz 3 des Staatsangehörigkeitsgesetzes, der zuletzt durch Artikel 5 des Gesetzes vom 19. August 2007 (BGBl. I S. 1970) geändert worden ist, Artikel 2 Abs. 1 des Gesetzes zu dem Übereinkommen vom 8. September 1976 über die Ausstellung mehrsprachiger Auszüge aus Personenstandsbüchern vom 16. April 1997 (BGBl. 1997 II S. 774) und des Artikels 2 Abs. 1 des Gesetzes zu dem Übereinkommen vom 5. September 1980 über die Ausstellung von Ehefähigkeitszeugnissen vom 5. Juni 1997 (BGBl. 1997 II S. 1086) verordnet das Bundesministerium des Innern im Benehmen mit dem Bundesministerium der Justiz:</w:t>
      </w:r>
    </w:p>
    <w:p>
      <w:r>
        <w:rPr>
          <w:color w:val="555555"/>
          <w:sz w:val="17"/>
        </w:rPr>
        <w:t xml:space="preserve">Zitiervorschlag: Eingangsformel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