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PStV — Personenstandsregister, Registerinhalt</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Die nach § 3 Abs. 1 des Gesetzes zu führenden Personenstandsregister bestehen aus Registereinträgen, die auf Dauer lesbar und unveränderbar zu speichern sind.</w:t>
      </w:r>
    </w:p>
    <w:p>
      <w:r>
        <w:t xml:space="preserve">(2) Die Registereinträge enthalten die für die Beurkundung der Personenstandsfälle nach dem Gesetz erforderlichen Daten einschließlich der dauerhaft überprüfbaren qualifizierten elektronischen Signatur des beurkundenden Standesbeamten sowie die Hinweise und die entsprechenden Registrierungsdaten nach § 16 Abs. 2 Satz 1.</w:t>
      </w:r>
    </w:p>
    <w:p>
      <w:r>
        <w:t xml:space="preserve">(3) Die Beurkundungsdaten werden vom Standesamt in strukturierter Form im Format Extensible Markup Language (XML) und zusätzlich als Dokument im Format Portable Document-Format (PDF/A) in dem entsprechenden Personenstandsregister gespeichert.</w:t>
      </w:r>
    </w:p>
    <w:p>
      <w:r>
        <w:t xml:space="preserve">(4) Beurkundungen im Sinne des § 54 des Gesetzes sind die im Format XML gespeicherten Haupteinträge und Folgebeurkundungen.</w:t>
      </w:r>
    </w:p>
    <w:p>
      <w:r>
        <w:rPr>
          <w:color w:val="555555"/>
          <w:sz w:val="17"/>
        </w:rPr>
        <w:t xml:space="preserve">Zitiervorschlag: § 9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