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PStV — Personenstandsbücher aus Grenzgebieten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dieser Verordnung gelten sinngemäß für die aus Anlass des deutsch-belgischen Vertrages vom 24. September 1956 (BGBl. 1958 II S. 262, 353) und auf Grund des deutsch-niederländischen Ausgleichsvertrages vom 8. April 1960 (BGBl. 1963 II S. 458, 1078) übergebenen Personenstandsbücher und beglaubigten Abschriften.</w:t>
      </w:r>
    </w:p>
    <w:p>
      <w:r>
        <w:t xml:space="preserve">(2) Soweit in diesen Registern die in den §§ 15, 21 und 31 des Gesetzes vorgeschriebenen Angaben nicht enthalten sind, ist eine Berichtigung oder Ergänzung nicht vorzunehmen.</w:t>
      </w:r>
    </w:p>
    <w:p>
      <w:r>
        <w:rPr>
          <w:color w:val="555555"/>
          <w:sz w:val="17"/>
        </w:rPr>
        <w:t xml:space="preserve">Zitiervorschlag: § 73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