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PStV — Personenstandsurkunden aus Altregistern und Übergangsbeurkundungen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Für die Ausstellung von Personenstandsurkunden aus Altregistern und Übergangsbeurkundungen gilt § 48 entsprechend. An Stelle beglaubigter Registerausdrucke nach § 55 Absatz 1 Nummer 5 des Gesetzes werden beglaubigte Abschriften der Personenstandseinträge erteilt.</w:t>
      </w:r>
    </w:p>
    <w:p>
      <w:r>
        <w:t xml:space="preserve">(2) Personenstandsurkunden aus Altregistern und Übergangsbeurkundungen werden nicht mehr ausgestellt, wenn die Einträge nach § 69 in elektronische Register übernommen worden sind.</w:t>
      </w:r>
    </w:p>
    <w:p>
      <w:r>
        <w:rPr>
          <w:color w:val="555555"/>
          <w:sz w:val="17"/>
        </w:rPr>
        <w:t xml:space="preserve">Zitiervorschlag: § 70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