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PStV — Anzeige eines Personenstandsfalls</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Über die mündliche Anzeige eines Personenstandsfalls ist vom Standesamt eine Niederschrift aufzunehmen. Die Niederschrift muss alle zur ordnungsgemäßen Beurkundung im Personenstandsregister erforderlichen Angaben enthalten.</w:t>
      </w:r>
    </w:p>
    <w:p>
      <w:r>
        <w:t xml:space="preserve">(2) Werden die nach dem Gesetz elektronisch zugelassenen Anzeigen, Anmeldungen und Anträge dem Standesamt über ein von einer Behörde bereitgestelltes Verwaltungsportal übermittelt, so soll für die elektronische Kommunikation zwischen dem Portal und dem Standesamt das Datenaustauschformat XPersonenstand und das Übertragungsprotokoll OSCI-Transport in der im Bundesanzeiger bekannt gemachten jeweils gültigen Fassung verwendet werden. § 63 Absatz 4 gilt entsprechend.</w:t>
      </w:r>
    </w:p>
    <w:p>
      <w:r>
        <w:t xml:space="preserve">(3) Die nach dem Gesetz gegenüber dem Standesamt zugelassenen elektronischen Anzeige-, Anmelde- und Antragsverfahren müssen dem Vertrauensniveau „hoch“ nach Artikel 8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entsprechen.</w:t>
      </w:r>
    </w:p>
    <w:p>
      <w:r>
        <w:rPr>
          <w:color w:val="555555"/>
          <w:sz w:val="17"/>
        </w:rPr>
        <w:t xml:space="preserve">Zitiervorschlag: § 6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