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PStV — Mitteilungen an das Standesamt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04.11.2025 (konsolidierte Textfassung, kein amtliches Inkrafttretensdatum)</w:t>
      </w:r>
    </w:p>
    <w:p>
      <w:r>
        <w:t xml:space="preserve">(1) Das Gericht teilt folgende Sachverhalte und Entscheidungen mit:</w:t>
      </w:r>
    </w:p>
    <w:p>
      <w:pPr>
        <w:ind w:left="420"/>
      </w:pPr>
      <w:r>
        <w:t xml:space="preserve">1. dem Standesamt, das den Geburtseintrag für ein Kind führt:</w:t>
      </w:r>
    </w:p>
    <w:p>
      <w:pPr>
        <w:ind w:left="780"/>
      </w:pPr>
      <w:r>
        <w:t xml:space="preserve">a) Beurkundungen von Erklärungen über die Anerkennung der Vaterschaft oder der Mutterschaft und über die familien- oder betreuungsgerichtliche Genehmigung einer Anerkennung, Zustimmung oder des Widerrufs solcher Erklärungen,</w:t>
      </w:r>
    </w:p>
    <w:p>
      <w:pPr>
        <w:ind w:left="780"/>
      </w:pPr>
      <w:r>
        <w:t xml:space="preserve">b) Entscheidungen, durch die das Bestehen oder Nichtbestehen eines Eltern- oder Kindesverhältnisses festgestellt wird, sofern diese eine Eintragung in einem Personenstandsregister erforderlich machen,</w:t>
      </w:r>
    </w:p>
    <w:p>
      <w:pPr>
        <w:ind w:left="780"/>
      </w:pPr>
      <w:r>
        <w:t xml:space="preserve">c) Entscheidungen über die Annahme als Kind oder die Aufhebung eines Annahmeverhältnisses sowie eine dem Familiengericht bekannt gewordene Annahme als Kind im Ausland,</w:t>
      </w:r>
    </w:p>
    <w:p>
      <w:pPr>
        <w:ind w:left="780"/>
      </w:pPr>
      <w:r>
        <w:t xml:space="preserve">d) Entscheidungen, durch die auf Grund des Transsexuellengesetzes in der bis einschließlich 31. Oktober 2024 geltenden Fassung</w:t>
      </w:r>
    </w:p>
    <w:p>
      <w:pPr>
        <w:ind w:left="1140"/>
      </w:pPr>
      <w:r>
        <w:t xml:space="preserve">aa) die Vornamen einer Person geändert oder solche Entscheidungen aufgehoben werden,</w:t>
      </w:r>
    </w:p>
    <w:p>
      <w:pPr>
        <w:ind w:left="1140"/>
      </w:pPr>
      <w:r>
        <w:t xml:space="preserve">bb) festgestellt wird, dass eine Person als dem anderen Geschlecht zugehörig anzusehen ist,</w:t>
      </w:r>
    </w:p>
    <w:p>
      <w:pPr>
        <w:ind w:left="420"/>
      </w:pPr>
      <w:r>
        <w:t xml:space="preserve">2. dem Standesamt, das das Eheregister führt:</w:t>
      </w:r>
    </w:p>
    <w:p>
      <w:pPr>
        <w:ind w:left="780"/>
      </w:pPr>
      <w:r>
        <w:t xml:space="preserve">a) Entscheidungen, durch die die Ehe geschieden oder aufgehoben wird,</w:t>
      </w:r>
    </w:p>
    <w:p>
      <w:pPr>
        <w:ind w:left="780"/>
      </w:pPr>
      <w:r>
        <w:t xml:space="preserve">b) Entscheidungen, durch die das Nichtbestehen der Ehe festgestellt wird,</w:t>
      </w:r>
    </w:p>
    <w:p>
      <w:pPr>
        <w:ind w:left="780"/>
      </w:pPr>
      <w:r>
        <w:t xml:space="preserve">c) Erklärungen und Entscheidungen nach Nummer 1, durch die sich der Name einer Person ändert, deren Geburt nicht in einem Personenstandsregister im Inland beurkundet ist,</w:t>
      </w:r>
    </w:p>
    <w:p>
      <w:pPr>
        <w:ind w:left="420"/>
      </w:pPr>
      <w:r>
        <w:t xml:space="preserve">3. dem Standesamt, das das Lebenspartnerschaftsregister führt:</w:t>
      </w:r>
    </w:p>
    <w:p>
      <w:pPr>
        <w:ind w:left="780"/>
      </w:pPr>
      <w:r>
        <w:t xml:space="preserve">a) Entscheidungen, durch die die Lebenspartnerschaft aufgehoben wird,</w:t>
      </w:r>
    </w:p>
    <w:p>
      <w:pPr>
        <w:ind w:left="780"/>
      </w:pPr>
      <w:r>
        <w:t xml:space="preserve">b) Erklärungen und Entscheidungen nach Nummer 1, durch die sich der Name einer Person ändert, deren Geburt nicht in einem Personenstandsregister im Inland beurkundet ist,</w:t>
      </w:r>
    </w:p>
    <w:p>
      <w:pPr>
        <w:ind w:left="420"/>
      </w:pPr>
      <w:r>
        <w:t xml:space="preserve">4. dem Standesamt I in Berlin:</w:t>
      </w:r>
    </w:p>
    <w:p>
      <w:pPr>
        <w:ind w:left="780"/>
      </w:pPr>
      <w:r>
        <w:t xml:space="preserve">a) Entscheidungen über die Todeserklärung oder die Feststellung der Todeszeit sowie die Anfechtung, Aufhebung oder Änderung solcher Entscheidungen,</w:t>
      </w:r>
    </w:p>
    <w:p>
      <w:pPr>
        <w:ind w:left="780"/>
      </w:pPr>
      <w:r>
        <w:t xml:space="preserve">b) Entscheidungen nach den Nummern 1 bis 3, wenn der Personenstandsfall, auf den sich die Mitteilung bezieht, nicht in einem Personenstandsregister im Inland beurkundet ist.</w:t>
      </w:r>
    </w:p>
    <w:p>
      <w:r>
        <w:t xml:space="preserve">(2) Die Namensänderungsbehörde teilt folgende Entscheidungen mit:</w:t>
      </w:r>
    </w:p>
    <w:p>
      <w:pPr>
        <w:ind w:left="420"/>
      </w:pPr>
      <w:r>
        <w:t xml:space="preserve">1. dem Standesamt, das das Geburtenregister führt:</w:t>
      </w:r>
    </w:p>
    <w:p>
      <w:pPr>
        <w:ind w:left="780"/>
      </w:pPr>
      <w:r>
        <w:t xml:space="preserve">a) die Änderung oder Feststellung des Familiennamens oder der Vornamen eines Kindes,</w:t>
      </w:r>
    </w:p>
    <w:p>
      <w:pPr>
        <w:ind w:left="780"/>
      </w:pPr>
      <w:r>
        <w:t xml:space="preserve">b) die Änderung oder Feststellung des Familiennamens der Eltern oder eines Elternteils, wenn sich die namensrechtliche Wirkung auf das Kind erstreckt,</w:t>
      </w:r>
    </w:p>
    <w:p>
      <w:pPr>
        <w:ind w:left="420"/>
      </w:pPr>
      <w:r>
        <w:t xml:space="preserve">2. dem Standesamt, das das Eheregister führt:</w:t>
      </w:r>
    </w:p>
    <w:p>
      <w:pPr>
        <w:ind w:left="780"/>
      </w:pPr>
      <w:r>
        <w:t xml:space="preserve">a) die Änderung oder Feststellung des Ehenamens der Ehegatten,</w:t>
      </w:r>
    </w:p>
    <w:p>
      <w:pPr>
        <w:ind w:left="780"/>
      </w:pPr>
      <w:r>
        <w:t xml:space="preserve">b) die Änderung oder Feststellung des Vor- oder Familiennamens eines Ehegatten, dessen Geburt nicht im Inland beurkundet ist,</w:t>
      </w:r>
    </w:p>
    <w:p>
      <w:pPr>
        <w:ind w:left="420"/>
      </w:pPr>
      <w:r>
        <w:t xml:space="preserve">3. dem Standesamt, das das Lebenspartnerschaftsregister führt:</w:t>
      </w:r>
    </w:p>
    <w:p>
      <w:pPr>
        <w:ind w:left="780"/>
      </w:pPr>
      <w:r>
        <w:t xml:space="preserve">a) die Änderung oder Feststellung des Lebenspartnerschaftsnamens der Lebenspartner,</w:t>
      </w:r>
    </w:p>
    <w:p>
      <w:pPr>
        <w:ind w:left="780"/>
      </w:pPr>
      <w:r>
        <w:t xml:space="preserve">b) die Änderung oder Feststellung des Vor- oder Familiennamens eines Lebenspartners, dessen Geburt nicht im Inland beurkundet ist.</w:t>
      </w:r>
    </w:p>
    <w:p>
      <w:r>
        <w:t xml:space="preserve">(3) Die Meldebehörde teilt dem Standesamt die erstmalig erteilte Identifikationsnummer nach § 139b der Abgabenordnung mit. Ist zu einer Person noch keine Identifikationsnummer nach § 139b der Abgabenordnung im Personenstandsregister gespeichert, teilt die Registermodernisierungsbehörde nach dem Identifikationsnummerngesetz diese auf Anforderung dem Standesamt mit, das einen Personenstandseintrag für diese Person führt.</w:t>
      </w:r>
    </w:p>
    <w:p>
      <w:r>
        <w:t xml:space="preserve">(4) Das Jugendamt teilt folgende Beurkundungen mit:</w:t>
      </w:r>
    </w:p>
    <w:p>
      <w:pPr>
        <w:ind w:left="420"/>
      </w:pPr>
      <w:r>
        <w:t xml:space="preserve">1. dem Standesamt, das den Geburtseintrag für ein Kind führt:</w:t>
      </w:r>
    </w:p>
    <w:p>
      <w:pPr>
        <w:ind w:left="780"/>
      </w:pPr>
      <w:r>
        <w:t xml:space="preserve">a) Erklärungen über die Anerkennung der Vaterschaft oder den Widerruf der Anerkennung und die für die Wirksamkeit etwa erforderlichen Zustimmungserklärungen,</w:t>
      </w:r>
    </w:p>
    <w:p>
      <w:pPr>
        <w:ind w:left="780"/>
      </w:pPr>
      <w:r>
        <w:t xml:space="preserve">b) Erklärungen über die Anerkennung der Mutterschaft und die für die Wirksamkeit etwa erforderlichen Zustimmungserklärungen,</w:t>
      </w:r>
    </w:p>
    <w:p>
      <w:pPr>
        <w:ind w:left="420"/>
      </w:pPr>
      <w:r>
        <w:t xml:space="preserve">2. dem Standesamt I in Berlin, wenn sich die Beurkundung nach Nummer 1 auf ein Kind bezieht, dessen Geburt nicht in einem Personenstandsregister im Inland beurkundet ist.</w:t>
      </w:r>
    </w:p>
    <w:p>
      <w:r>
        <w:t xml:space="preserve">(5) Der Notar teilt folgende Beurkundungen und Beglaubigungen mit:</w:t>
      </w:r>
    </w:p>
    <w:p>
      <w:pPr>
        <w:ind w:left="420"/>
      </w:pPr>
      <w:r>
        <w:t xml:space="preserve">1. dem Standesamt, das den Geburtseintrag für ein Kind führt:</w:t>
      </w:r>
    </w:p>
    <w:p>
      <w:pPr>
        <w:ind w:left="780"/>
      </w:pPr>
      <w:r>
        <w:t xml:space="preserve">a) Erklärungen über die Anerkennung der Vaterschaft oder den Widerruf der Anerkennung und die für die Wirksamkeit etwa erforderlichen Zustimmungserklärungen,</w:t>
      </w:r>
    </w:p>
    <w:p>
      <w:pPr>
        <w:ind w:left="780"/>
      </w:pPr>
      <w:r>
        <w:t xml:space="preserve">b) Erklärungen über die Anerkennung der Mutterschaft und die für die Wirksamkeit etwa erforderlichen Zustimmungserklärungen,</w:t>
      </w:r>
    </w:p>
    <w:p>
      <w:pPr>
        <w:ind w:left="780"/>
      </w:pPr>
      <w:r>
        <w:t xml:space="preserve">c) Erklärungen zum Familiennamen des Kindes und die für die Wirksamkeit etwa erforderlichen Einwilligungserklärungen,</w:t>
      </w:r>
    </w:p>
    <w:p>
      <w:pPr>
        <w:ind w:left="780"/>
      </w:pPr>
      <w:r>
        <w:t xml:space="preserve">d) Erklärungen nach Artikel 47 oder Artikel 48 des Einführungsgesetzes zum Bürgerlichen Gesetzbuche, § 1 des Minderheiten-Namensänderungsgesetzes und nach § 94 des Bundesvertriebenengesetzes,</w:t>
      </w:r>
    </w:p>
    <w:p>
      <w:pPr>
        <w:ind w:left="420"/>
      </w:pPr>
      <w:r>
        <w:t xml:space="preserve">2. dem Standesamt, das den Eheeintrag der Ehegatten führt, Erklärungen über die Namensführung in der Ehe oder nach Auflösung der Ehe,</w:t>
      </w:r>
    </w:p>
    <w:p>
      <w:pPr>
        <w:ind w:left="420"/>
      </w:pPr>
      <w:r>
        <w:t xml:space="preserve">3. dem Standesamt, das den Lebenspartnerschaftseintrag der Lebenspartner führt, Erklärungen über die Namensführung in der Lebenspartnerschaft oder nach Auflösung derselben,</w:t>
      </w:r>
    </w:p>
    <w:p>
      <w:pPr>
        <w:ind w:left="420"/>
      </w:pPr>
      <w:r>
        <w:t xml:space="preserve">4. dem Standesamt I in Berlin, wenn der Personenstandsfall, auf den sich die Mitteilung nach Nummer 1 Buchstabe a und Nummer 1 Buchstabe b bezieht, nicht in einem Personenstandsregister im Inland beurkundet ist,</w:t>
      </w:r>
    </w:p>
    <w:p>
      <w:pPr>
        <w:ind w:left="420"/>
      </w:pPr>
      <w:r>
        <w:t xml:space="preserve">5. dem Standesamt am Wohnsitz, letzten Wohnsitz oder gewöhnlichen Aufenthalt des Erklärenden, wenn der Personenstandsfall, auf den sich die Mitteilung nach Nummer 1 Buchstabe c, Nummer 1 Buchstabe d, Nummer 2 oder Nummer 3 bezieht, nicht in einem Personenstandsregister im Inland beurkundet ist; hat der Erklärende keinen Wohnsitz, keinen letzten Wohnsitz oder keinen gewöhnlichen Aufenthalt im Inland, ist die Mitteilung an das Standesamt I in Berlin zu richten.</w:t>
      </w:r>
    </w:p>
    <w:p>
      <w:r>
        <w:t xml:space="preserve">(6) Für die Mitteilungen der Konsularbeamten der deutschen Auslandsvertretungen gilt Absatz 5.</w:t>
      </w:r>
    </w:p>
    <w:p>
      <w:r>
        <w:t xml:space="preserve">(7) Die Mitteilung soll enthalten:</w:t>
      </w:r>
    </w:p>
    <w:p>
      <w:pPr>
        <w:ind w:left="420"/>
      </w:pPr>
      <w:r>
        <w:t xml:space="preserve">1. die Registrierungsdaten des Personenstandseintrags, auf den sich die Mitteilung bezieht,</w:t>
      </w:r>
    </w:p>
    <w:p>
      <w:pPr>
        <w:ind w:left="420"/>
      </w:pPr>
      <w:r>
        <w:t xml:space="preserve">2. den Familiennamen, den Geburtsnamen und die Vornamen der Personen, auf die sich die Mitteilung bezieht, sowie Tag und Ort des personenstandsrechtlichen Ereignisses,</w:t>
      </w:r>
    </w:p>
    <w:p>
      <w:pPr>
        <w:ind w:left="420"/>
      </w:pPr>
      <w:r>
        <w:t xml:space="preserve">3. die Bezeichnung des Vorgangs, der Anlass der Mitteilung ist,</w:t>
      </w:r>
    </w:p>
    <w:p>
      <w:pPr>
        <w:ind w:left="420"/>
      </w:pPr>
      <w:r>
        <w:t xml:space="preserve">4. das Wirksamkeitsdatum der Entscheidung oder Erklärung.</w:t>
      </w:r>
    </w:p>
    <w:p>
      <w:r>
        <w:t xml:space="preserve">(8) Mitteilungspflichten an die Standesämter auf Grund anderer Rechtsvorschriften und internationaler Vereinbarungen bleiben unberührt.</w:t>
      </w:r>
    </w:p>
    <w:p>
      <w:r>
        <w:rPr>
          <w:color w:val="555555"/>
          <w:sz w:val="17"/>
        </w:rPr>
        <w:t xml:space="preserve">Zitiervorschlag: § 56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