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PStV — Benutzung durch Personen</w:t>
      </w:r>
    </w:p>
    <w:p>
      <w:r>
        <w:rPr>
          <w:color w:val="555555"/>
          <w:sz w:val="18"/>
        </w:rPr>
        <w:t xml:space="preserve">Personenstandsverordnung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elektronische Auskunft über Daten aus einem Personenstandsregister an Berechtigte nach § 62 des Gesetzes gilt § 63 Abs. 1 entsprechend.</w:t>
      </w:r>
    </w:p>
    <w:p>
      <w:r>
        <w:t xml:space="preserve">(2) Die besonderen Vorschriften des Gesetzes für die Benutzung der Personenstandsregister durch Geschwister gelten auch für halbbürtige Geschwister.</w:t>
      </w:r>
    </w:p>
    <w:p>
      <w:r>
        <w:rPr>
          <w:color w:val="555555"/>
          <w:sz w:val="17"/>
        </w:rPr>
        <w:t xml:space="preserve">Zitiervorschlag: § 53 PStV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https://recht.nulegal.eu/gesetze/PStV/53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