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PStV — Familienrechtliche Erklärungen</w:t>
      </w:r>
    </w:p>
    <w:p>
      <w:r>
        <w:rPr>
          <w:color w:val="555555"/>
          <w:sz w:val="18"/>
        </w:rPr>
        <w:t xml:space="preserve">Personenstandsverordnung</w:t>
      </w:r>
    </w:p>
    <w:p>
      <w:r>
        <w:rPr>
          <w:color w:val="555555"/>
          <w:sz w:val="18"/>
        </w:rPr>
        <w:t xml:space="preserve">Stand: 29.07.2026 (konsolidierte Textfassung, kein amtliches Inkrafttretensdatum)</w:t>
      </w:r>
    </w:p>
    <w:p>
      <w:r>
        <w:t xml:space="preserve">(1) Einer Person deren Name oder Geschlechtseintrag geändert worden ist, wird auf Wunsch eine Bescheinigung von dem Standesamt erteilt, das</w:t>
      </w:r>
    </w:p>
    <w:p>
      <w:pPr>
        <w:ind w:left="420"/>
      </w:pPr>
      <w:r>
        <w:t xml:space="preserve">1. eine Erklärung, Einwilligung oder Zustimmung zur Namensführung auf Grund familienrechtlicher Vorschriften entgegengenommen hat,</w:t>
      </w:r>
    </w:p>
    <w:p>
      <w:pPr>
        <w:ind w:left="420"/>
      </w:pPr>
      <w:r>
        <w:t xml:space="preserve">2. eine Erklärung nach § 94 des Bundesvertriebenengesetzes, § 1 des Minderheiten-Namensänderungsgesetzes oder Artikel 47, 48 des Einführungsgesetzes zum Bürgerlichen Gesetzbuche entgegengenommen hat,</w:t>
      </w:r>
    </w:p>
    <w:p>
      <w:pPr>
        <w:ind w:left="420"/>
      </w:pPr>
      <w:r>
        <w:t xml:space="preserve">3. eine Erklärung nach § 45a des Gesetzes oder nach § 2 des Gesetzes über die Selbstbestimmung in Bezug auf den Geschlechtseintrag entgegengenommen hat oder</w:t>
      </w:r>
    </w:p>
    <w:p>
      <w:pPr>
        <w:ind w:left="420"/>
      </w:pPr>
      <w:r>
        <w:t xml:space="preserve">4. ein Personenstandsregister führt, aus dem sich eine Namensänderung oder die Änderung des Geschlechtseintrags nach den Nummern 1 bis 3 ergibt.</w:t>
      </w:r>
    </w:p>
    <w:p>
      <w:r>
        <w:t xml:space="preserve">(2) Wird eine Erklärung zur Namensführung oder eine andere familienrechtliche Erklärung nach den §§ 41 bis 45b gegenüber einem Standesamt abgegeben, das für die Entgegennahme nicht zuständig ist, sollen dem für die Entgegennahme zuständigen Standesamt die Erklärungsdaten mit dem Wortlaut der Erklärung bei Vorliegen der technischen Voraussetzungen nach § 63 elektronisch übermittelt werden. Im Fall der Übermittlung der Erklärung als Schriftstück wird für die eigenen Unterlagen eine beglaubigte Abschrift gefertigt und das Original der Erklärung an das für die Entgegennahme zuständige Standesamt abgegeben.</w:t>
      </w:r>
    </w:p>
    <w:p>
      <w:r>
        <w:rPr>
          <w:color w:val="555555"/>
          <w:sz w:val="17"/>
        </w:rPr>
        <w:t xml:space="preserve">Zitiervorschlag: § 46 PStV</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