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PStV — Nachweise bei Anzeige des Sterbefalls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Sterbefall angezeigt, so soll das Standesamt verlangen, dass ihm</w:t>
      </w:r>
    </w:p>
    <w:p>
      <w:pPr>
        <w:ind w:left="420"/>
      </w:pPr>
      <w:r>
        <w:t xml:space="preserve">1. die Ehe- oder Lebenspartnerschaftsurkunde der letzten Ehe oder Lebenspartnerschaft und gegebenenfalls ein Nachweis über die Auflösung,</w:t>
      </w:r>
    </w:p>
    <w:p>
      <w:pPr>
        <w:ind w:left="420"/>
      </w:pPr>
      <w:r>
        <w:t xml:space="preserve">2. die Geburtsurkunde,</w:t>
      </w:r>
    </w:p>
    <w:p>
      <w:pPr>
        <w:ind w:left="420"/>
      </w:pPr>
      <w:r>
        <w:t xml:space="preserve">3. ein Nachweis über den letzten Wohnsitz,</w:t>
      </w:r>
    </w:p>
    <w:p>
      <w:pPr>
        <w:ind w:left="420"/>
      </w:pPr>
      <w:r>
        <w:t xml:space="preserve">4. eine ärztliche Bescheinigung über den Tod</w:t>
      </w:r>
    </w:p>
    <w:p>
      <w:r>
        <w:t xml:space="preserve">des Verstorbenen vorgelegt wird. Auf die Vorlage der nach Nummer 2 erforderlichen Geburtsurkunde kann verzichtet werden, wenn sich die Registrierungsdaten der Geburt des Verstorbenen aus einer Ehe- oder Lebenspartnerschaftsurkunde ergeben. Das Standesamt kann die Vorlage weiterer Urkunden verlangen, wenn dies zum Nachweis von Angaben erforderlich ist.</w:t>
      </w:r>
    </w:p>
    <w:p>
      <w:r>
        <w:rPr>
          <w:color w:val="555555"/>
          <w:sz w:val="17"/>
        </w:rPr>
        <w:t xml:space="preserve">Zitiervorschlag: § 38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