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PStV — Sterbefälle in Fahrzeugen, Bergwerken und Gewässern; unbekannter Sterbeort</w:t>
      </w:r>
    </w:p>
    <w:p>
      <w:r>
        <w:rPr>
          <w:color w:val="555555"/>
          <w:sz w:val="18"/>
        </w:rPr>
        <w:t xml:space="preserve">Personenstandsverordnung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Einen Sterbefall in einem Landfahrzeug, auf einem Binnenschiff oder in einem Luftfahrzeug beurkundet das Standesamt, in dessen Bezirk der Verstorbene aus dem Fahrzeug herausgenommen wird.</w:t>
      </w:r>
    </w:p>
    <w:p>
      <w:r>
        <w:t xml:space="preserve">(2) Einen Sterbefall in einem Bergwerk beurkundet das Standesamt, in dessen Bezirk die Schachteinfahrt des Bergwerkes liegt.</w:t>
      </w:r>
    </w:p>
    <w:p>
      <w:r>
        <w:t xml:space="preserve">(3) Einen Sterbefall in einem Gewässer beurkundet das Standesamt, in dessen Bezirk der Verstorbene an Land gebracht wird.</w:t>
      </w:r>
    </w:p>
    <w:p>
      <w:r>
        <w:t xml:space="preserve">(4) Ist ein Sterbeort nicht feststellbar, so beurkundet das Standesamt den Sterbefall, in dessen Bezirk der Verstorbene gefunden wurde.</w:t>
      </w:r>
    </w:p>
    <w:p>
      <w:r>
        <w:t xml:space="preserve">(5) Ist der Sterbeort bekannt, so ist dieser Ort in die Personenstandsregister einzutragen; ist der Sterbeort nicht bekannt, so ist der für die Zuständigkeit maßgebende Ort als Sterbeort einzutragen. § 32 Abs. 2 Satz 2 gilt entsprechend.</w:t>
      </w:r>
    </w:p>
    <w:p>
      <w:r>
        <w:t xml:space="preserve">(6) Das Übereinkommen der Bodenseeuferstaaten über die Beurkundung der auf dem Bodensee eintretenden Geburten und Sterbefälle vom 16. März 1880 (Badisches Gesetz- und Verordnungsblatt S. 102, Württembergisches Regierungsblatt S. 171, Bayerisches Gesetz- und Verordnungsblatt S. 133) bleibt unberührt.</w:t>
      </w:r>
    </w:p>
    <w:p>
      <w:r>
        <w:rPr>
          <w:color w:val="555555"/>
          <w:sz w:val="17"/>
        </w:rPr>
        <w:t xml:space="preserve">Zitiervorschlag: § 37 PStV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https://recht.nulegal.eu/gesetze/PStV/37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