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PStV — Fortführung des Geburtenregisters</w:t>
      </w:r>
    </w:p>
    <w:p>
      <w:r>
        <w:rPr>
          <w:color w:val="555555"/>
          <w:sz w:val="18"/>
        </w:rPr>
        <w:t xml:space="preserve">Personenstandsverordnung</w:t>
      </w:r>
    </w:p>
    <w:p>
      <w:r>
        <w:rPr>
          <w:color w:val="555555"/>
          <w:sz w:val="18"/>
        </w:rPr>
        <w:t xml:space="preserve">Stand: 01.11.2022 (konsolidierte Textfassung, kein amtliches Inkrafttretensdatum)</w:t>
      </w:r>
    </w:p>
    <w:p>
      <w:r>
        <w:t xml:space="preserve">(1) Die Änderung des Familiennamens eines Kindes ist nur dann als Folgebeurkundung einzutragen, wenn sie den Geburtsnamen betrifft.</w:t>
      </w:r>
    </w:p>
    <w:p>
      <w:r>
        <w:t xml:space="preserve">(2) Bei einer Namensänderung der Eltern und des Kindes ist die Namensänderung der Eltern auch dann als Folgebeurkundung einzutragen, wenn sie nicht zu einer übereinstimmenden Namensführung von Eltern und Kind geführt hat, aber durch Erklärungen nach Artikel 47 des Einführungsgesetzes zum Bürgerlichen Gesetzbuche oder § 94 des Bundesvertriebenengesetzes erfolgt ist.</w:t>
      </w:r>
    </w:p>
    <w:p>
      <w:r>
        <w:t xml:space="preserve">(3) (weggefallen)</w:t>
      </w:r>
    </w:p>
    <w:p>
      <w:r>
        <w:rPr>
          <w:color w:val="555555"/>
          <w:sz w:val="17"/>
        </w:rPr>
        <w:t xml:space="preserve">Zitiervorschlag: § 36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