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PStV — Besonderheiten bei der Beurkundung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Liegen dem Standesamt bei der Beurkundung der Geburt keine geeigneten Nachweise zu Angaben über die Eltern des Kindes vor, ist hierüber im Geburtseintrag ein erläuternder Zusatz aufzunehmen; § 7 bleibt unberührt. Als Personenstandsurkunde darf bis zur Eintragung einer ergänzenden Folgebeurkundung zu den Angaben über die Eltern nur ein beglaubigter Registerausdruck ausgestellt werden.</w:t>
      </w:r>
    </w:p>
    <w:p>
      <w:r>
        <w:t xml:space="preserve">(2) Bei Geburt im Inland sind personenstandsrechtliche Änderungen, die nach der Geburt, aber vor der Beurkundung wirksam geworden sind, in den Haupteintrag aufzunehmen.</w:t>
      </w:r>
    </w:p>
    <w:p>
      <w:r>
        <w:rPr>
          <w:color w:val="555555"/>
          <w:sz w:val="17"/>
        </w:rPr>
        <w:t xml:space="preserve">Zitiervorschlag: § 35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