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PStV — Geburten in Fahrzeugen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Eine Geburt in einem Land- oder Luftfahrzeug beurkundet das Standesamt, in dessen Bezirk die Mutter das Fahrzeug verlässt. Eine Geburt auf einem Binnenschiff beurkundet das Standesamt, in dessen Bezirk das Schiff zuerst vor Anker geht oder anlegt.</w:t>
      </w:r>
    </w:p>
    <w:p>
      <w:r>
        <w:t xml:space="preserve">(2) Ist bei einer Geburt nach Absatz 1 der Ort bekannt, an dem das Kind geboren wurde, so ist dieser Ort in die Personenstandsregister einzutragen; ist der Ort nicht bekannt, so ist der für die Zuständigkeit maßgebende Ort als Geburtsort einzutragen. Wird später festgestellt, dass das Kind in einem anderen Standesamtsbezirk geboren wurde, entfällt eine erneute Beurkundung; die Angabe des Geburtsortes ist zu berichtigen.</w:t>
      </w:r>
    </w:p>
    <w:p>
      <w:r>
        <w:t xml:space="preserve">(3) Das Übereinkommen der Bodenseeuferstaaten über die Beurkundung der auf dem Bodensee eingetretenen Geburten und Sterbefälle vom 16. März 1880 (Badisches Gesetz- und Verordnungsblatt S. 102, Württembergisches Regierungsblatt S. 171, Bayerisches Gesetz- und Verordnungsblatt S. 133) bleibt unberührt.</w:t>
      </w:r>
    </w:p>
    <w:p>
      <w:r>
        <w:rPr>
          <w:color w:val="555555"/>
          <w:sz w:val="17"/>
        </w:rPr>
        <w:t xml:space="preserve">Zitiervorschlag: § 32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