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PStV — Behinderung, Verweigerung der Unterschrift</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Ist ein Beteiligter hör- oder sprachbehindert und ist eine schriftliche Verständigung mit ihm nicht möglich, so ist ein Gebärdendolmetscher hinzuzuziehen. § 2 gilt entsprechend.</w:t>
      </w:r>
    </w:p>
    <w:p>
      <w:r>
        <w:t xml:space="preserve">(2) Kann ein Beteiligter nicht schreiben oder ist er am Schreiben gehindert, soll er ein Handzeichen machen. Ist das nicht möglich oder weigert sich ein Beteiligter zu unterschreiben, so ist dies mit Angabe des Grundes zu vermerken.</w:t>
      </w:r>
    </w:p>
    <w:p>
      <w:r>
        <w:rPr>
          <w:color w:val="555555"/>
          <w:sz w:val="17"/>
        </w:rPr>
        <w:t xml:space="preserve">Zitiervorschlag: § 3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