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PStV — Eheschließung</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Ist die Eheschließung durch einen Bevollmächtigten angemeldet worden, hat der Vertretene die bei der Anmeldung abgegebenen Erklärungen persönlich zu bestätigen.</w:t>
      </w:r>
    </w:p>
    <w:p>
      <w:r>
        <w:t xml:space="preserve">(2) Eine erneute Prüfung der Ehevoraussetzungen soll nur dann erfolgen, wenn die Befragung der Eheschließenden ergibt, dass seit der Anmeldung der Eheschließung Änderungen der für die Beurteilung der Ehefähigkeit erheblichen Tatsachen eingetreten sind oder dem Standesamt ein sonstiger Anlass für eine erneute Prüfung bekannt geworden ist. Wenn die Eheschließung nicht bei dem Standesamt erfolgen soll, bei dem sie angemeldet wurde, sind die Anmeldeunterlagen zur erneuten Prüfung zurückzusenden.</w:t>
      </w:r>
    </w:p>
    <w:p>
      <w:r>
        <w:t xml:space="preserve">(3) Die Niederschrift über die Eheschließung ist mit einem Formular nach dem Muster der Anlage 10 zu fertigen; das Formular ist dem Beurkundungssachverhalt anzupassen und kann programmgerecht eingerichtet werden, soweit dies im Einzelfall notwendig ist.</w:t>
      </w:r>
    </w:p>
    <w:p>
      <w:r>
        <w:rPr>
          <w:color w:val="555555"/>
          <w:sz w:val="17"/>
        </w:rPr>
        <w:t xml:space="preserve">Zitiervorschlag: § 29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