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PStV — Namensangabe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Personen, die auf Grund Eheschließung oder Begründung einer Lebenspartnerschaft einen vom Geburtsnamen abweichenden Familiennamen führen, ist zusätzlich auch der Geburtsname einzutragen.</w:t>
      </w:r>
    </w:p>
    <w:p>
      <w:r>
        <w:t xml:space="preserve">(2) Bei Personen, die keinen Vor- und Familiennamen oder die neben Vor- und Familiennamen weitere Namensbestandteile führen, ist der sich aus Urkunden ergebende Name mit allen Namensbestandteilen in die Personenstandsregister einzutragen.</w:t>
      </w:r>
    </w:p>
    <w:p>
      <w:r>
        <w:t xml:space="preserve">(3) Namen und Namensbestandteile nach Absatz 2 sollen in den Personenstandsregistern unter Hinweis auf die jeweilige Art der ausländischen Namensform bezeichnet werden.</w:t>
      </w:r>
    </w:p>
    <w:p>
      <w:r>
        <w:t xml:space="preserve">(4) Für die Angabe von Namen in familienrechtlichen Beurkundungen gelten die Absätze 1 bis 3 und § 35 entsprechend.</w:t>
      </w:r>
    </w:p>
    <w:p>
      <w:r>
        <w:rPr>
          <w:color w:val="555555"/>
          <w:sz w:val="17"/>
        </w:rPr>
        <w:t xml:space="preserve">Zitiervorschlag: § 23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