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PStV — Sicherungsregister</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Für den Aufbau des Sicherungsregisters gilt § 15 entsprechend. Registereinträge sind mit Abschluss der Beurkundung in das entsprechende Sicherungsregister zu übernehmen.</w:t>
      </w:r>
    </w:p>
    <w:p>
      <w:r>
        <w:t xml:space="preserve">(2) Die Übertragung vom Personenstandsregister in das Sicherungsregister ist gegen jede unbefugte Benutzung sowie gegen Datenverlust zu sichern. Das Sicherungsregister ist so einzurichten, dass es bei Beschädigung der Anlagen oder der Daten des Personenstandsregisters nicht in Mitleidenschaft gezogen wird; die §§ 11 und 12 gelten entsprechend.</w:t>
      </w:r>
    </w:p>
    <w:p>
      <w:r>
        <w:rPr>
          <w:color w:val="555555"/>
          <w:sz w:val="17"/>
        </w:rPr>
        <w:t xml:space="preserve">Zitiervorschlag: § 20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