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PStV — Übersetzung in die deutsche Sprache</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Werden einem Standesamt fremdsprachige Urkunden vorgelegt, so soll eine Übersetzung in die deutsche Sprache gefordert werden.</w:t>
      </w:r>
    </w:p>
    <w:p>
      <w:r>
        <w:t xml:space="preserve">(2) Versteht ein Beteiligter die deutsche Sprache nicht, ist ein Dolmetscher hinzuzuziehen, wenn der Standesbeamte oder der mit der Amtshandlung befasste Mitarbeiter des Standesamts die fremde Sprache nicht selbst beherrscht. Der Dolmetscher hat gegenüber dem Standesbeamten eine Versicherung an Eides statt darüber abzugeben, dass er treu und gewissenhaft übertragen werde. Ist der Dolmetscher für Übertragungen der betreffenden Art in einem Land nach den landesrechtlichen Vorschriften allgemein beeidigt, genügt die Berufung auf diesen Eid.</w:t>
      </w:r>
    </w:p>
    <w:p>
      <w:r>
        <w:t xml:space="preserve">(3) Eine Niederschrift soll auch in der fremden Sprache vorgelesen werden. Dass dies geschehen ist, ist am Schluss der Niederschrift anzugeben. Die Niederschrift ist auch vom Dolmetscher zu unterschreiben.</w:t>
      </w:r>
    </w:p>
    <w:p>
      <w:r>
        <w:rPr>
          <w:color w:val="555555"/>
          <w:sz w:val="17"/>
        </w:rPr>
        <w:t xml:space="preserve">Zitiervorschlag: § 2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