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PStV — Hinweise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Personenstandsregistern ist auf Registereinträge in anderen Personenstandsregistern mit der Bezeichnung des Standesamts, der Registernummer nach § 16 Abs. 2 Satz 2 sowie Tag und Ort des Personenstandsfalls hinzuweisen; im Hinweis auf die Geburt eines Kindes ist auch dessen Vor- und Familienname anzugeben.</w:t>
      </w:r>
    </w:p>
    <w:p>
      <w:r>
        <w:t xml:space="preserve">(2) Einer elektronischen Signatur und einer Nummerierung bedarf es nicht.</w:t>
      </w:r>
    </w:p>
    <w:p>
      <w:r>
        <w:rPr>
          <w:color w:val="555555"/>
          <w:sz w:val="17"/>
        </w:rPr>
        <w:t xml:space="preserve">Zitiervorschlag: § 18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