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PStV — Berechtigungskonzept</w:t>
      </w:r>
    </w:p>
    <w:p>
      <w:r>
        <w:rPr>
          <w:color w:val="555555"/>
          <w:sz w:val="18"/>
        </w:rPr>
        <w:t xml:space="preserve">Personenstandsverordnung</w:t>
      </w:r>
    </w:p>
    <w:p>
      <w:r>
        <w:rPr>
          <w:color w:val="555555"/>
          <w:sz w:val="18"/>
        </w:rPr>
        <w:t xml:space="preserve">Stand: 01.11.2025 (konsolidierte Textfassung, kein amtliches Inkrafttretensdatum)</w:t>
      </w:r>
    </w:p>
    <w:p>
      <w:r>
        <w:t xml:space="preserve">(1) Der Zugriff auf die Daten im Personenstandsregister erfolgt innerhalb eines Standesamts mit folgenden Berechtigungsstufen:</w:t>
      </w:r>
    </w:p>
    <w:p>
      <w:pPr>
        <w:ind w:left="420"/>
      </w:pPr>
      <w:r>
        <w:t xml:space="preserve">1. Stufe A erlaubt, einen Eintrag abzuschließen und in das Personenstandsregister einzufügen, Einträge durch Folgebeurkundungen fortzuführen und Sperrvermerke sowie Hinweise aufzunehmen,</w:t>
      </w:r>
    </w:p>
    <w:p>
      <w:pPr>
        <w:ind w:left="420"/>
      </w:pPr>
      <w:r>
        <w:t xml:space="preserve">2. Stufe B erlaubt, Hinweise aufzunehmen oder zu ändern,</w:t>
      </w:r>
    </w:p>
    <w:p>
      <w:pPr>
        <w:ind w:left="420"/>
      </w:pPr>
      <w:r>
        <w:t xml:space="preserve">3. Stufe C erlaubt, einen Eintrag einzusehen,</w:t>
      </w:r>
    </w:p>
    <w:p>
      <w:pPr>
        <w:ind w:left="420"/>
      </w:pPr>
      <w:r>
        <w:t xml:space="preserve">4. Stufe D erlaubt die Einsicht in das Suchverzeichnis, um festzustellen, ob der Eintrag bei dem betreffenden Standesamt geführt wird,</w:t>
      </w:r>
    </w:p>
    <w:p>
      <w:pPr>
        <w:ind w:left="420"/>
      </w:pPr>
      <w:r>
        <w:t xml:space="preserve">5. Stufe T erlaubt, einen automatisierten Datenabruf durch einen technischen Benutzer nach § 68 Absatz 2 des Gesetzes auszulösen sowie die Identifikationsnummer gemäß § 2 Nummer 1 des Identifikationsnummerngesetzes in den Datensatz eines Registereintrags zu übernehmen.</w:t>
      </w:r>
    </w:p>
    <w:p>
      <w:r>
        <w:t xml:space="preserve">Eine höhere Berechtigung schließt eine niedrigere ein.</w:t>
      </w:r>
    </w:p>
    <w:p>
      <w:r>
        <w:t xml:space="preserve">(2) Die Berechtigung und die jeweiligen Berechtigungsstufen nach Absatz 1 werden durch einen von dem Aufgabenträger des Standesamts dafür bestimmten Standesbeamten, nach Absatz 1 Nummer 5 durch den Verfahrensbetreiber für das Registerverfahren erteilt. Die Zugriffsberechtigung für ein nach § 67 des Gesetzes eingerichtetes zentrales Personenstandsregister wird durch Rechtsverordnung der Landesregierung geregelt. Die Ermächtigung kann durch Rechtsverordnung auf oberste Landesbehörden übertragen werden.</w:t>
      </w:r>
    </w:p>
    <w:p>
      <w:r>
        <w:t xml:space="preserve">(3) Das Löschen eines Registereintrags nach § 7 Absatz 3 und 4 des Gesetzes erfolgt durch einen von dem Aufgabenträger des Standesamts dafür bestimmten Standesbeamten. Durch technische Maßnahmen ist zu gewährleisten, dass nur Registereinträge, einschließlich der zugehörigen elektronischen Sammelakten, gelöscht werden können, deren Fortführungsfrist nach § 5 Absatz 5 des Gesetzes abgelaufen ist.</w:t>
      </w:r>
    </w:p>
    <w:p>
      <w:r>
        <w:rPr>
          <w:color w:val="555555"/>
          <w:sz w:val="17"/>
        </w:rPr>
        <w:t xml:space="preserve">Zitiervorschlag: § 14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