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PStV — Betriebs- und Sicherheitskonzept, Datenverarbeitungssysteme</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Für den Betrieb der Personenstandsregister ist ein Betriebs- und Sicherheitskonzept zu erstellen, das festlegt, mit welchen technischen und organisatorischen Maßnahmen die Vorgaben des Gesetzes und dieser Verordnung unter Beachtung der Fortführungsfristen nach § 5 Abs. 5 des Gesetzes gewährleistet werden.</w:t>
      </w:r>
    </w:p>
    <w:p>
      <w:r>
        <w:t xml:space="preserve">(2) Die für die Register verwendeten Datenverarbeitungssysteme sind regelmäßig auf Funktionalität zu überprüfen. Die Registereinträge sind bei Bedarf auf Datenträger und Anlagen zu übertragen, die dem Stand der Technik entsprechen. Bei dieser Übertragung muss die Integrität der übertragenen Einträge überprüft und die Überprüfung dokumentiert werden. Es ist sicherzustellen, dass die in ausgesonderten Datenverarbeitungssystemen gespeicherten Daten spurenlos gelöscht werden.</w:t>
      </w:r>
    </w:p>
    <w:p>
      <w:r>
        <w:rPr>
          <w:color w:val="555555"/>
          <w:sz w:val="17"/>
        </w:rPr>
        <w:t xml:space="preserve">Zitiervorschlag: § 13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