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PStV — Anforderungen an Datenverarbeitungsverfahren</w:t>
      </w:r>
    </w:p>
    <w:p>
      <w:r>
        <w:rPr>
          <w:color w:val="555555"/>
          <w:sz w:val="18"/>
        </w:rPr>
        <w:t xml:space="preserve">Personenstandsverordnung</w:t>
      </w:r>
    </w:p>
    <w:p>
      <w:r>
        <w:rPr>
          <w:color w:val="555555"/>
          <w:sz w:val="18"/>
        </w:rPr>
        <w:t xml:space="preserve">Stand: 01.07.2020 (konsolidierte Textfassung, kein amtliches Inkrafttretensdatum)</w:t>
      </w:r>
    </w:p>
    <w:p>
      <w:r>
        <w:t xml:space="preserve">(1) Datenverarbeitungsverfahren für die Personenstandsregister (Registerverfahren) müssen gewährleisten, dass</w:t>
      </w:r>
    </w:p>
    <w:p>
      <w:pPr>
        <w:ind w:left="420"/>
      </w:pPr>
      <w:r>
        <w:t xml:space="preserve">1. die Beurkundungsdaten und Hinweise in den dafür vorgesehenen Datenfeldern (Anlage 1) gespeichert werden,</w:t>
      </w:r>
    </w:p>
    <w:p>
      <w:pPr>
        <w:ind w:left="420"/>
      </w:pPr>
      <w:r>
        <w:t xml:space="preserve">2. eine Zusammenstellung aller Beurkundungsdaten als Personenstandseintrag nach den Mustern der Anlagen 2 bis 5 auf Dauer unveränderbar gespeichert wird,</w:t>
      </w:r>
    </w:p>
    <w:p>
      <w:pPr>
        <w:ind w:left="420"/>
      </w:pPr>
      <w:r>
        <w:t xml:space="preserve">3. der Personenstandseintrag mit den Registrierungsdaten nach § 16 Abs. 2 Satz 1 versehen wird,</w:t>
      </w:r>
    </w:p>
    <w:p>
      <w:pPr>
        <w:ind w:left="420"/>
      </w:pPr>
      <w:r>
        <w:t xml:space="preserve">4. die erforderliche dauerhaft überprüfbare qualifizierte elektronische Signatur und die Daten, die zur Sicherung der dauerhaften Überprüfbarkeit erforderlich sind, beim Personenstandseintrag gespeichert werden,</w:t>
      </w:r>
    </w:p>
    <w:p>
      <w:pPr>
        <w:ind w:left="420"/>
      </w:pPr>
      <w:r>
        <w:t xml:space="preserve">5. jede Änderung oder Ergänzung eines bestehenden Registereintrags (Folgebeurkundung) gespeichert und mit dem Eintrag der Erstbeurkundung (Haupteintrag) und hierzu bereits vorhandener Folgebeurkundungen elektronisch verknüpft wird, ohne die bereits im Personenstandsregister gespeicherten Eintragsdaten zu überschreiben oder zu löschen,</w:t>
      </w:r>
    </w:p>
    <w:p>
      <w:pPr>
        <w:ind w:left="420"/>
      </w:pPr>
      <w:r>
        <w:t xml:space="preserve">6. die Beurkundungsdaten, gegliedert in Erstbeurkundung und Folgebeurkundungen für eine weitere Folgebeurkundung unter automatischer Vergabe der nach § 17 Satz 1 vorgesehenen Folgenummer bereitgestellt werden und der entsprechende Eintrag für die Dauer der Bearbeitung im Personenstandsregister gesperrt wird,</w:t>
      </w:r>
    </w:p>
    <w:p>
      <w:pPr>
        <w:ind w:left="420"/>
      </w:pPr>
      <w:r>
        <w:t xml:space="preserve">7. die Authentizität des Eintrags sichergestellt und eine systemunabhängige Prüfung möglich ist,</w:t>
      </w:r>
    </w:p>
    <w:p>
      <w:pPr>
        <w:ind w:left="420"/>
      </w:pPr>
      <w:r>
        <w:t xml:space="preserve">8. Registereinträge, die nach Ablauf der Aufbewahrungsfristen von den zuständigen öffentlichen Archiven übernommen werden, auf externe Datenträger übertragen und aus dem Personenstandsregister gelöscht werden können.</w:t>
      </w:r>
    </w:p>
    <w:p>
      <w:r>
        <w:t xml:space="preserve">(2) Datenverarbeitungsverfahren für die Erstellung, Fortführung, Suche und Anzeige der Personenstandseinträge (Fachverfahren) müssen gewährleisten, dass die nach dieser Verordnung erforderliche dauerhaft überprüfbare qualifizierte elektronische Signatur vor einer Speicherung im Personenstandsregister angebracht wird und bei jeder Bereitstellung eines Registereintrags zur Bearbeitung im Fachverfahren die Signatur überprüft wird.</w:t>
      </w:r>
    </w:p>
    <w:p>
      <w:r>
        <w:t xml:space="preserve">(3) Fachverfahren dürfen mit einem Registerverfahren nur über eine Schnittstelle verbunden sein, die eine direkte Änderung der im Personenstandsregister gespeicherten Daten ausschließt. Diese Schnittstelle muss gewährleisten, dass</w:t>
      </w:r>
    </w:p>
    <w:p>
      <w:pPr>
        <w:ind w:left="420"/>
      </w:pPr>
      <w:r>
        <w:t xml:space="preserve">1. eine system- und programmiersprachenunabhängige Zusammenarbeit von Fach- und Registerverfahren möglich ist,</w:t>
      </w:r>
    </w:p>
    <w:p>
      <w:pPr>
        <w:ind w:left="420"/>
      </w:pPr>
      <w:r>
        <w:t xml:space="preserve">2. die in einem Fachverfahren bearbeiteten Daten in das Personenstandsregister übernommen werden und die zugehörige dauerhaft überprüfbare qualifizierte elektronische Signatur übergeben wird,</w:t>
      </w:r>
    </w:p>
    <w:p>
      <w:pPr>
        <w:ind w:left="420"/>
      </w:pPr>
      <w:r>
        <w:t xml:space="preserve">3. die im Personenstandsregister vorhandenen Daten für eine Bearbeitung in das Fachverfahren übernommen werden,</w:t>
      </w:r>
    </w:p>
    <w:p>
      <w:pPr>
        <w:ind w:left="420"/>
      </w:pPr>
      <w:r>
        <w:t xml:space="preserve">4. die in einem Fachverfahren für eine Übernahme in das Personenstandsregister bearbeiteten Daten den festgelegten Strukturen und Formatbeschreibungen der Daten im Personenstandsregister angepasst werden,</w:t>
      </w:r>
    </w:p>
    <w:p>
      <w:pPr>
        <w:ind w:left="420"/>
      </w:pPr>
      <w:r>
        <w:t xml:space="preserve">5. die zur systemunabhängigen Prüfung der Authentizität des Personenstandseintrags notwendigen Informationen bereitgestellt werden können.</w:t>
      </w:r>
    </w:p>
    <w:p>
      <w:r>
        <w:t xml:space="preserve">(4) Das Bundesministerium des Innern, für Bau und Heimat kann eine den Voraussetzungen des Absatzes 3 genügende Schnittstellenbeschreibung durch Veröffentlichung im Bundesanzeiger für verbindlich anwendbar erklären.</w:t>
      </w:r>
    </w:p>
    <w:p>
      <w:r>
        <w:rPr>
          <w:color w:val="555555"/>
          <w:sz w:val="17"/>
        </w:rPr>
        <w:t xml:space="preserve">Zitiervorschlag: § 11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