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PStTG — Rechtsweg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Gegen Maßnahmen der Finanzbehörden nach diesem Gesetz ist der Finanzrechtsweg gegeben.</w:t>
      </w:r>
    </w:p>
    <w:p>
      <w:r>
        <w:t xml:space="preserve">(2) Absatz 1 ist auf das Bußgeldverfahren nicht anzuwenden.</w:t>
      </w:r>
    </w:p>
    <w:p>
      <w:r>
        <w:rPr>
          <w:color w:val="555555"/>
          <w:sz w:val="17"/>
        </w:rPr>
        <w:t xml:space="preserve">Zitiervorschlag: § 28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