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PStTG — Bußgeldvorschriften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entgegen § 12 Absatz 1 sich nicht, nicht richtig, nicht vollständig oder nicht rechtzeitig registriert,</w:t>
      </w:r>
    </w:p>
    <w:p>
      <w:pPr>
        <w:ind w:left="420"/>
      </w:pPr>
      <w:r>
        <w:t xml:space="preserve">2. entgegen § 12 Absatz 2 Satz 1 Nummer 1 bis 4 oder 6 eine Mitteilung nicht richtig oder nicht vollständig macht,</w:t>
      </w:r>
    </w:p>
    <w:p>
      <w:pPr>
        <w:ind w:left="420"/>
      </w:pPr>
      <w:r>
        <w:t xml:space="preserve">3. entgegen</w:t>
      </w:r>
    </w:p>
    <w:p>
      <w:pPr>
        <w:ind w:left="780"/>
      </w:pPr>
      <w:r>
        <w:t xml:space="preserve">a) § 12 Absatz 3 in Verbindung mit § 12 Absatz 2 Satz 1 Nummer 1 bis 4 oder 6 oder</w:t>
      </w:r>
    </w:p>
    <w:p>
      <w:pPr>
        <w:ind w:left="780"/>
      </w:pPr>
      <w:r>
        <w:t xml:space="preserve">b) § 22</w:t>
      </w:r>
    </w:p>
    <w:p>
      <w:pPr>
        <w:ind w:left="420"/>
      </w:pPr>
      <w:r>
        <w:t xml:space="preserve">eine Mitteilung nicht, nicht richtig, nicht vollständig oder nicht rechtzeitig macht,</w:t>
      </w:r>
    </w:p>
    <w:p>
      <w:pPr>
        <w:ind w:left="420"/>
      </w:pPr>
      <w:r>
        <w:t xml:space="preserve">4. entgegen § 13 Absatz 1 Satz 1 Nummer 2 eine Meldung nicht, nicht richtig, nicht vollständig, nicht rechtzeitig oder nicht in der vorgeschriebenen Weise macht,</w:t>
      </w:r>
    </w:p>
    <w:p>
      <w:pPr>
        <w:ind w:left="420"/>
      </w:pPr>
      <w:r>
        <w:t xml:space="preserve">5. entgegen § 13 Absatz 1 Satz 2 eine Meldung nicht, nicht richtig, nicht vollständig oder nicht rechtzeitig nachholt, nicht, nicht richtig, nicht vollständig oder nicht rechtzeitig korrigiert und nicht, nicht richtig, nicht vollständig oder nicht rechtzeitig vervollständigt,</w:t>
      </w:r>
    </w:p>
    <w:p>
      <w:pPr>
        <w:ind w:left="420"/>
      </w:pPr>
      <w:r>
        <w:t xml:space="preserve">6. entgegen § 23 Satz 2 eine der dort genannten Maßnahmen nicht, nicht richtig oder nicht rechtzeitig ergreift,</w:t>
      </w:r>
    </w:p>
    <w:p>
      <w:pPr>
        <w:ind w:left="420"/>
      </w:pPr>
      <w:r>
        <w:t xml:space="preserve">7. entgegen § 24 Absatz 1 eine Aufzeichnung nicht, nicht richtig, nicht vollständig oder nicht rechtzeitig erstellt,</w:t>
      </w:r>
    </w:p>
    <w:p>
      <w:pPr>
        <w:ind w:left="420"/>
      </w:pPr>
      <w:r>
        <w:t xml:space="preserve">8. entgegen § 24 Absatz 3 Satz 1 eine Aufzeichnung nicht oder nicht mindestens zehn Jahre aufbewahrt oder</w:t>
      </w:r>
    </w:p>
    <w:p>
      <w:pPr>
        <w:ind w:left="420"/>
      </w:pPr>
      <w:r>
        <w:t xml:space="preserve">9. entgegen § 24 Absatz 3 Satz 2 eine Aufzeichnung nicht oder nicht rechtzeitig löscht.</w:t>
      </w:r>
    </w:p>
    <w:p>
      <w:r>
        <w:t xml:space="preserve">(2) Die Ordnungswidrigkeit kann in den Fällen des Absatzes 1 Nummer 1 bis 3 Buchstabe a mit einer Geldbuße bis zu fünfzigtausend Euro, in den Fällen des Absatzes 1 Nummer 4 bis 6 mit einer Geldbuße bis zu dreißigtausend Euro und in den übrigen Fällen mit einer Geldbuße bis zu fünftausend Euro geahndet werden.</w:t>
      </w:r>
    </w:p>
    <w:p>
      <w:r>
        <w:t xml:space="preserve">(3) Verwaltungsbehörde im Sinne des § 36 Absatz 1 Nummer 1 des Gesetzes über Ordnungswidrigkeiten ist das Bundeszentralamt für Steuern.</w:t>
      </w:r>
    </w:p>
    <w:p>
      <w:r>
        <w:t xml:space="preserve">(4) Für das Bußgeldverfahren gelten die §§ 389, 390 und 410 Absatz 1 Nummer 2 und 6 bis 12 der Abgabenordnung entsprechend.</w:t>
      </w:r>
    </w:p>
    <w:p>
      <w:r>
        <w:rPr>
          <w:color w:val="555555"/>
          <w:sz w:val="17"/>
        </w:rPr>
        <w:t xml:space="preserve">Zitiervorschlag: § 25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