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PStTG — Erfüllung der Sorgfaltspflichten durch Dritte</w:t>
      </w:r>
    </w:p>
    <w:p>
      <w:r>
        <w:rPr>
          <w:color w:val="555555"/>
          <w:sz w:val="18"/>
        </w:rPr>
        <w:t xml:space="preserve">Plattformen-Steuertransparenzgesetz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Meldende Plattformbetreiber können zur Erfüllung der Verpflichtungen nach diesem Abschnitt Fremddienstleister in Anspruch nehmen.</w:t>
      </w:r>
    </w:p>
    <w:p>
      <w:r>
        <w:t xml:space="preserve">(2) Meldende Plattformbetreiber können die Erfüllung der Verpflichtungen nach diesem Abschnitt auf andere Plattformbetreiber derselben Plattform übertragen.</w:t>
      </w:r>
    </w:p>
    <w:p>
      <w:r>
        <w:t xml:space="preserve">(3) Die Verantwortung für die Erfüllung der Verpflichtungen nach diesem Abschnitt liegt in den Fällen der Absätze 1 und 2 weiterhin bei den meldenden Plattformbetreibern.</w:t>
      </w:r>
    </w:p>
    <w:p>
      <w:r>
        <w:rPr>
          <w:color w:val="555555"/>
          <w:sz w:val="17"/>
        </w:rPr>
        <w:t xml:space="preserve">Zitiervorschlag: § 21 PStTG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https://recht.nulegal.eu/gesetze/PStTG/21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