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PStTG — Anwendungsbereich</w:t>
      </w:r>
    </w:p>
    <w:p>
      <w:r>
        <w:rPr>
          <w:color w:val="555555"/>
          <w:sz w:val="18"/>
        </w:rPr>
        <w:t xml:space="preserve">Plattformen-Steuertransparenzgesetz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Dieses Gesetz regelt die Meldepflicht von Plattformbetreibern und den automatischen Informationsaustausch aufgrund der Richtlinie 2011/16/EU des Rates vom 15. Februar 2011 über die Zusammenarbeit der Verwaltungsbehörden im Bereich der Besteuerung und zur Aufhebung der Richtlinie 77/799/EWG (ABl. L 64 vom 11.3.2011, S. 1; Amtshilferichtlinie) in der Fassung der Richtlinie (EU) 2021/514 (ABl. L 104 vom 25.3.2021, S. 1).</w:t>
      </w:r>
    </w:p>
    <w:p>
      <w:r>
        <w:t xml:space="preserve">(2) Es gelten die Vorschriften der Abgabenordnung, soweit dieses Gesetz nichts anderes bestimmt.</w:t>
      </w:r>
    </w:p>
    <w:p>
      <w:r>
        <w:rPr>
          <w:color w:val="555555"/>
          <w:sz w:val="17"/>
        </w:rPr>
        <w:t xml:space="preserve">Zitiervorschlag: § 1 PStTG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https://recht.nulegal.eu/gesetze/PStTG/1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