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PStG — Verlust eines Personenstandsregisters</w:t>
      </w:r>
    </w:p>
    <w:p>
      <w:r>
        <w:rPr>
          <w:color w:val="555555"/>
          <w:sz w:val="18"/>
        </w:rPr>
        <w:t xml:space="preserve">Personenstandsgesetz</w:t>
      </w:r>
    </w:p>
    <w:p>
      <w:r>
        <w:rPr>
          <w:color w:val="555555"/>
          <w:sz w:val="18"/>
        </w:rPr>
        <w:t xml:space="preserve">Stand: 10.06.2019 (konsolidierte Textfassung, kein amtliches Inkrafttretensdatum)</w:t>
      </w:r>
    </w:p>
    <w:p>
      <w:r>
        <w:t xml:space="preserve">(1) Gerät ein Ehe-, Lebenspartnerschafts-, Geburten- oder Sterberegister ganz oder teilweise in Verlust, so ist es auf Grund des Sicherungsregisters wiederherzustellen. Ein Verlust ist auch dann gegeben, wenn die Daten eines Registereintrags wegen eines nicht zu behebenden technischen Fehlers nicht mehr zu verwenden sind.</w:t>
      </w:r>
    </w:p>
    <w:p>
      <w:r>
        <w:t xml:space="preserve">(2) Gerät das Sicherungsregister ganz oder teilweise in Verlust, so ist es auf Grund des Personenstandsregisters wiederherzustellen. Sind sowohl das Personenstandsregister als auch das Sicherungsregister in Verlust geraten, so sind beide Register durch Neubeurkundung wiederherzustellen. Die Beurkundungen werden nach amtlicher Ermittlung des Sachverhalts vorgenommen.</w:t>
      </w:r>
    </w:p>
    <w:p>
      <w:r>
        <w:t xml:space="preserve">(3) Sind Eheschließung, Begründung der Lebenspartnerschaft, Geburt oder Tod einer Person mit hinreichender Sicherheit festgestellt, so ist die Neubeurkundung auch dann zulässig, wenn der Inhalt des früheren Eintrags nicht mehr zweifelsfrei festgestellt werden kann. Der Zeitpunkt der Eheschließung, der Begründung der Lebenspartnerschaft, der Geburt oder des Todes ist hierbei so genau zu bestimmen, wie es nach dem Ergebnis der Ermittlungen möglich ist.</w:t>
      </w:r>
    </w:p>
    <w:p>
      <w:r>
        <w:t xml:space="preserve">(4) War ein Eintrag berichtigt worden, so kann die Neubeurkundung in der Form einer einheitlichen Eintragung, in der die Berichtigungen berücksichtigt sind, vorgenommen werden.</w:t>
      </w:r>
    </w:p>
    <w:p>
      <w:r>
        <w:rPr>
          <w:color w:val="555555"/>
          <w:sz w:val="17"/>
        </w:rPr>
        <w:t xml:space="preserve">Zitiervorschlag: § 8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