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PStG — Fortführung, Benutzung und Aufbewahrung der Altregister</w:t>
      </w:r>
    </w:p>
    <w:p>
      <w:r>
        <w:rPr>
          <w:color w:val="555555"/>
          <w:sz w:val="18"/>
        </w:rPr>
        <w:t xml:space="preserve">Personenstandsgesetz</w:t>
      </w:r>
    </w:p>
    <w:p>
      <w:r>
        <w:rPr>
          <w:color w:val="555555"/>
          <w:sz w:val="18"/>
        </w:rPr>
        <w:t xml:space="preserve">Stand: 01.11.2022 (konsolidierte Textfassung, kein amtliches Inkrafttretensdatum)</w:t>
      </w:r>
    </w:p>
    <w:p>
      <w:r>
        <w:t xml:space="preserve">(1) Altregister sind die bis zum 31. Dezember 2008 angelegten Personenstandsbücher sowie die seit dem 1. Januar 1876 geführten Standesregister und standesamtlichen Nebenregister und die davor geführten Zivilstandsregister (Standesbücher). Für ihre Fortführung und Beweiskraft gelten die §§ 5, 16, 17, 27, 32 und 54 entsprechend, die Folgebeurkundungen sind von dem Standesbeamten zu unterschreiben.</w:t>
      </w:r>
    </w:p>
    <w:p>
      <w:r>
        <w:t xml:space="preserve">(2) Für die Fortführung der Zweitbücher gilt § 4 Absatz 2 entsprechend mit der Maßgabe, dass Hinweise nicht einzutragen sind.</w:t>
      </w:r>
    </w:p>
    <w:p>
      <w:r>
        <w:t xml:space="preserve">(3) Für die Benutzung der Altregister und der dazu geführten Sammelakten gelten die §§ 61 bis 66 entsprechend.</w:t>
      </w:r>
    </w:p>
    <w:p>
      <w:r>
        <w:t xml:space="preserve">(4) Für die Aufbewahrung und das Anbieten der Altregister, der Zweitbücher und der Sammelakten gegenüber den Archiven gilt § 7 Absatz 1 Satz 1, Absatz 2 und 3 entsprechend.</w:t>
      </w:r>
    </w:p>
    <w:p>
      <w:r>
        <w:t xml:space="preserve">(5) Einträge aus Altregistern werden elektronisch erfasst und fortgeführt, wenn</w:t>
      </w:r>
    </w:p>
    <w:p>
      <w:pPr>
        <w:ind w:left="420"/>
      </w:pPr>
      <w:r>
        <w:t xml:space="preserve">1. ein Anlass zur Fortführung des Registereintrags im Geburten-, Ehe- und Lebenspartnerschaftsregister besteht,</w:t>
      </w:r>
    </w:p>
    <w:p>
      <w:pPr>
        <w:ind w:left="420"/>
      </w:pPr>
      <w:r>
        <w:t xml:space="preserve">2. die Ausstellung einer Personenstandsurkunde aus einem der in Nummer 1 genannten Register beantragt wird oder</w:t>
      </w:r>
    </w:p>
    <w:p>
      <w:pPr>
        <w:ind w:left="420"/>
      </w:pPr>
      <w:r>
        <w:t xml:space="preserve">3. durch eine automatisierte Datenabfrage Daten aus einem papiergebundenen Altregister nach Nummer 1 abgefragt werden.</w:t>
      </w:r>
    </w:p>
    <w:p>
      <w:r>
        <w:t xml:space="preserve">Im Übrigen sollen sie elektronisch erfasst werden. Eine Nacherfassung im elektronischen Personenstandsregister nach den Sätzen 1 und 2 ist nicht erforderlich, wenn bereits die Hälfte der nach § 5 Absatz 5 für den entsprechenden Personenstandseintrag geltenden Fortführungsfrist abgelaufen ist oder die elektronische Nacherfassung aufgrund der in dem papiergebundenen Registereintrag beurkundeten Daten aus anderen Gründen nicht angezeigt ist.</w:t>
      </w:r>
    </w:p>
    <w:p>
      <w:r>
        <w:rPr>
          <w:color w:val="555555"/>
          <w:sz w:val="17"/>
        </w:rPr>
        <w:t xml:space="preserve">Zitiervorschlag: § 76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