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68a PStG — Rechte der betroffenen Person</w:t>
      </w:r>
    </w:p>
    <w:p>
      <w:r>
        <w:rPr>
          <w:color w:val="555555"/>
          <w:sz w:val="18"/>
        </w:rPr>
        <w:t xml:space="preserve">Personenstandsgesetz</w:t>
      </w:r>
    </w:p>
    <w:p>
      <w:r>
        <w:rPr>
          <w:color w:val="555555"/>
          <w:sz w:val="18"/>
        </w:rPr>
        <w:t xml:space="preserve">Stand: 02.12.2019 (konsolidierte Textfassung, kein amtliches Inkrafttretensdatum)</w:t>
      </w:r>
    </w:p>
    <w:p>
      <w:r>
        <w:t xml:space="preserve">(1) Das Auskunftsrecht nach Artikel 15 Absatz 1 und das Recht auf Erhalt einer Kopie nach Artikel 15 Absatz 3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werden dadurch gewährleistet, dass die betroffene Person nach § 62 Einsicht in das Personenstandsregister und in die zum Personenstandseintrag geführten Sammelakten nehmen sowie eine Auskunft aus dem Personenstandseintrag oder der Sammelakte erhalten kann. Soweit die Auskunft zu den verarbeiteten personenbezogenen Daten nach Artikel 15 Absatz 3 der Verordnung (EU) 2016/679 durch eine gebührenfreie Kopie des amtlichen Formulars einer Personenstandsurkunde erfolgt, ist dieses nicht vom Standesbeamten zu unterschreiben, zu siegeln oder zu beglaubigen. Das Recht auf Auskunft der betroffenen Person gemäß Artikel 15 Absatz 1 Buchstabe c der Verordnung (EU) 2016/679 ist beschränkt auf die Kategorien von Empfängern, gegenüber denen die im Personenstandsregister oder in den zum Registereintrag geführten Sammelakten enthaltenen personenbezogenen Daten offengelegt worden sind oder noch offengelegt werden.</w:t>
      </w:r>
    </w:p>
    <w:p>
      <w:r>
        <w:t xml:space="preserve">(2) Hinsichtlich der in den Personenstandsregistern enthaltenen personenbezogenen Daten kann das Recht auf Berichtigung nach Artikel 16 der Verordnung (EU) 2016/679 nur unter den Voraussetzungen der §§ 47 bis 53 ausgeübt werden.</w:t>
      </w:r>
    </w:p>
    <w:p>
      <w:r>
        <w:t xml:space="preserve">(3) Das Widerspruchsrecht gemäß Artikel 21 der Verordnung (EU) 2016/679 findet in Bezug auf die im Personenstandsregister beurkundeten Daten und die in den Sammelakten enthaltenen Dokumente keine Anwendung.</w:t>
      </w:r>
    </w:p>
    <w:p>
      <w:r>
        <w:rPr>
          <w:color w:val="555555"/>
          <w:sz w:val="17"/>
        </w:rPr>
        <w:t xml:space="preserve">Zitiervorschlag: § 68a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