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PStG — Zentrale Register</w:t>
      </w:r>
    </w:p>
    <w:p>
      <w:r>
        <w:rPr>
          <w:color w:val="555555"/>
          <w:sz w:val="18"/>
        </w:rPr>
        <w:t xml:space="preserve">Personenstandsgesetz</w:t>
      </w:r>
    </w:p>
    <w:p>
      <w:r>
        <w:rPr>
          <w:color w:val="555555"/>
          <w:sz w:val="18"/>
        </w:rPr>
        <w:t xml:space="preserve">Stand: 01.11.2022 (konsolidierte Textfassung, kein amtliches Inkrafttretensdatum)</w:t>
      </w:r>
    </w:p>
    <w:p>
      <w:r>
        <w:t xml:space="preserve">(1) Die Länder dürfen zentrale Register einrichten zu dem Zweck, die Registereinträge der angeschlossenen Standesämter zu erfassen, ihre Benutzung nach Absatz 3 sowie ihre Fortführung nach Absatz 4 zu ermöglichen.</w:t>
      </w:r>
    </w:p>
    <w:p>
      <w:r>
        <w:t xml:space="preserve">(2) Die Standesämter dürfen bei ihnen gespeicherte Registereinträge an das zentrale Register übermitteln. Die Länder können zulassen, dass die elektronische Erfassung eines Altregisters nach § 76 Absatz 5 auch durch ein angeschlossenes Standesamt erfolgt, das den Haupteintrag nicht selbst errichtet hat. Die Verantwortung für die Richtigkeit und Vollständigkeit der Daten trägt die übermittelnde Stelle. Das zentrale Register darf die Daten speichern zum Zweck der Übermittlung nach Absatz 3.</w:t>
      </w:r>
    </w:p>
    <w:p>
      <w:r>
        <w:t xml:space="preserve">(3) Die Standesämter dürfen zur Erfüllung der ihnen obliegenden Aufgaben bei dem zentralen Register Registereinträge nutzen, wenn die Angaben benötigt werden zur Erteilung von Personenstandsurkunden, elektronischen Personenstandsbescheinigungen und Auskünften sowie zur Gewährung von Einsicht in die Personenstandsregister und Durchsicht dieser Register nach den §§ 55, 61 bis 66; die Benutzung der Personenstandsregister kann allen an das zentrale Register angeschlossenen Standesämtern gewährt werden.</w:t>
      </w:r>
    </w:p>
    <w:p>
      <w:r>
        <w:t xml:space="preserve">(4) Die Länder können zulassen, dass an das zentrale Register übermittelte Registereinträge abweichend von § 5 Absatz 4 von jedem angeschlossenen Standesamt fortgeführt werden dürfen.</w:t>
      </w:r>
    </w:p>
    <w:p>
      <w:r>
        <w:rPr>
          <w:color w:val="555555"/>
          <w:sz w:val="17"/>
        </w:rPr>
        <w:t xml:space="preserve">Zitiervorschlag: § 67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