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PStG — Benutzung für wissenschaftliche Zwecke</w:t>
      </w:r>
    </w:p>
    <w:p>
      <w:r>
        <w:rPr>
          <w:color w:val="555555"/>
          <w:sz w:val="18"/>
        </w:rPr>
        <w:t xml:space="preserve">Personenstandsgesetz</w:t>
      </w:r>
    </w:p>
    <w:p>
      <w:r>
        <w:rPr>
          <w:color w:val="555555"/>
          <w:sz w:val="18"/>
        </w:rPr>
        <w:t xml:space="preserve">Stand: 10.06.2019 (konsolidierte Textfassung, kein amtliches Inkrafttretensdatum)</w:t>
      </w:r>
    </w:p>
    <w:p>
      <w:r>
        <w:t xml:space="preserve">(1) Hochschulen, anderen Einrichtungen, die wissenschaftliche Forschung betreiben, und öffentlichen Stellen kann Auskunft aus einem oder Einsicht in ein Personenstandsregister sowie Durchsicht von Personenstandsregistern gewährt werden, wenn</w:t>
      </w:r>
    </w:p>
    <w:p>
      <w:pPr>
        <w:ind w:left="420"/>
      </w:pPr>
      <w:r>
        <w:t xml:space="preserve">1. dies für die Durchführung bestimmter wissenschaftlicher Forschungsvorhaben erforderlich ist,</w:t>
      </w:r>
    </w:p>
    <w:p>
      <w:pPr>
        <w:ind w:left="420"/>
      </w:pPr>
      <w:r>
        <w:t xml:space="preserve">2. eine Nutzung anonymisierter Daten zu diesem Zweck nicht möglich oder die Anonymisierung mit einem unverhältnismäßigen Aufwand verbunden ist und</w:t>
      </w:r>
    </w:p>
    <w:p>
      <w:pPr>
        <w:ind w:left="420"/>
      </w:pPr>
      <w:r>
        <w:t xml:space="preserve">3. das öffentliche Interesse an der Durchführung des Forschungsvorhabens die schutzwürdigen Belange des Betroffenen an dem Ausschluss der Benutzung erheblich überwiegt.</w:t>
      </w:r>
    </w:p>
    <w:p>
      <w:r>
        <w:t xml:space="preserve">Gleiches gilt für Auskunft aus den und Einsicht in die Sammelakten.</w:t>
      </w:r>
    </w:p>
    <w:p>
      <w:r>
        <w:t xml:space="preserve">(2) Die Benutzung der Personenstandsregister nach Absatz 1 setzt voraus, dass die empfangende Stelle technische und organisatorische Maßnahmen trifft, die nach den anzuwendenden datenschutzrechtlichen Vorschriften zum Schutz der Daten erforderlich und angemessen sind. Die Benutzung bedarf der Zustimmung der für den Fachbereich des Forschungsvorhabens zuständigen obersten Bundes- oder Landesbehörde oder einer von dieser bestimmten Stelle; die Zuständigkeit der obersten Landesbehörde richtet sich nach dem Sitz der Forschungseinrichtung. Die Zustimmung muss den Empfänger, die Art der Nutzung der Personenstandseinträge, den Kreis der Betroffenen und das Forschungsvorhaben bezeichnen; sie ist dem zuständigen Datenschutzbeauftragten mitzuteilen.</w:t>
      </w:r>
    </w:p>
    <w:p>
      <w:r>
        <w:t xml:space="preserve">(3) Mit Zustimmung der zuständigen obersten Bundes oder Landesbehörde oder der von dieser bestimmten Stelle dürfen die nach Absatz 1 genutzten Daten unter gleichen Voraussetzungen auch für andere Forschungsvorhaben verwendet oder weiter übermittelt werden.</w:t>
      </w:r>
    </w:p>
    <w:p>
      <w:r>
        <w:t xml:space="preserve">(4) Wenn und sobald der Forschungszweck es erlaubt, sind die nach den Absätzen 1 und 3 erlangten Daten zu anonymisieren. Bis zu einer Anonymisierung sind die Merkmale gesondert zu speichern, mit denen Einzelangaben über persönliche und sachliche Verhältnisse einer bestimmten oder bestimmbaren Person zugeordnet werden können; sie dürfen mit den Einzelangaben nur zusammengeführt werden, soweit der Forschungszweck es erfordert. Die Merkmale sind zu löschen, sobald der Forschungszweck erreicht ist.</w:t>
      </w:r>
    </w:p>
    <w:p>
      <w:r>
        <w:t xml:space="preserve">(5) Eine Veröffentlichung der nach den Absätzen 1 und 3 erlangten Daten ist nur zulässig, wenn</w:t>
      </w:r>
    </w:p>
    <w:p>
      <w:pPr>
        <w:ind w:left="420"/>
      </w:pPr>
      <w:r>
        <w:t xml:space="preserve">1. die Betroffenen, im Falle ihres Todes deren Ehegatten und Abkömmlinge, eingewilligt haben oder</w:t>
      </w:r>
    </w:p>
    <w:p>
      <w:pPr>
        <w:ind w:left="420"/>
      </w:pPr>
      <w:r>
        <w:t xml:space="preserve">2. dies für die Darstellung von Forschungsergebnissen über Ereignisse der Zeitgeschichte unerlässlich ist; in diesem Fall bedarf die Veröffentlichung der Zustimmung der obersten Bundes- oder Landesbehörde, die der Benutzung nach Absatz 2 zugestimmt hat.</w:t>
      </w:r>
    </w:p>
    <w:p>
      <w:r>
        <w:rPr>
          <w:color w:val="555555"/>
          <w:sz w:val="17"/>
        </w:rPr>
        <w:t xml:space="preserve">Zitiervorschlag: § 66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