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63 PStG — Benutzung in besonderen Fällen</w:t>
      </w:r>
    </w:p>
    <w:p>
      <w:r>
        <w:rPr>
          <w:color w:val="555555"/>
          <w:sz w:val="18"/>
        </w:rPr>
        <w:t xml:space="preserve">Personenstandsgesetz</w:t>
      </w:r>
    </w:p>
    <w:p>
      <w:r>
        <w:rPr>
          <w:color w:val="555555"/>
          <w:sz w:val="18"/>
        </w:rPr>
        <w:t xml:space="preserve">Stand: 01.04.2026 (konsolidierte Textfassung, kein amtliches Inkrafttretensdatum)</w:t>
      </w:r>
    </w:p>
    <w:p>
      <w:r>
        <w:t xml:space="preserve">(1) Ist ein Kind angenommen, so darf abweichend von § 62 ein beglaubigter Registerausdruck aus dem Geburtseintrag nur den Annehmenden, deren Eltern, dem gesetzlichen Vertreter des Kindes und dem über 16 Jahre alten Kind selbst erteilt werden. Diese Beschränkung entfällt mit dem Tod des Kindes; § 1758 des Bürgerlichen Gesetzbuchs bleibt unberührt.</w:t>
      </w:r>
    </w:p>
    <w:p>
      <w:r>
        <w:t xml:space="preserve">(2) Ist der Geschlechtseintrag einer Person nach § 2 Absatz 1 des Gesetzes über die Selbstbestimmung in Bezug auf den Geschlechtseintrag und sind die Vornamen einer Person nach § 2 Absatz 3 des Gesetzes über die Selbstbestimmung in Bezug auf den Geschlechtseintrag geändert worden, so gilt abweichend von § 62:</w:t>
      </w:r>
    </w:p>
    <w:p>
      <w:pPr>
        <w:ind w:left="420"/>
      </w:pPr>
      <w:r>
        <w:t xml:space="preserve">1. eine Personenstandsurkunde aus dem Geburtseintrag darf nur der betroffenen Person selbst erteilt werden,</w:t>
      </w:r>
    </w:p>
    <w:p>
      <w:pPr>
        <w:ind w:left="420"/>
      </w:pPr>
      <w:r>
        <w:t xml:space="preserve">2. eine Ehe- oder Lebenspartnerschaftsurkunde aus dem Ehe- oder Lebenspartnerschaftseintrag darf nur der betroffenen Person selbst sowie ihrem Ehegatten oder Lebenspartner erteilt werden.</w:t>
      </w:r>
    </w:p>
    <w:p>
      <w:r>
        <w:t xml:space="preserve">Diese Beschränkungen entfallen mit dem Tod der betroffenen Person; § 13 des Gesetzes über die Selbstbestimmung in Bezug auf den Geschlechtseintrag bleibt unberührt.</w:t>
      </w:r>
    </w:p>
    <w:p>
      <w:r>
        <w:t xml:space="preserve">(3) Die Absätze 1 und 2 gelten entsprechend für Auskunft aus einem und Einsicht in einen Registereintrag sowie Auskunft aus den und Einsicht in die Sammelakten.</w:t>
      </w:r>
    </w:p>
    <w:p>
      <w:r>
        <w:t xml:space="preserve">(4) Ist die Anerkennung trotz bestehender Vaterschaft erfolgt, so darf abweichend von § 62 Auskunft aus einem und Einsicht in ein in die Sammelakten aufgenommenes Ergebnis einer genetischen Abstammungsuntersuchung nach § 17 des Gendiagnostikgesetzes nur dem Anerkennenden, der Mutter, dem Kind und dem anderen Mann, dessen Zustimmung nach § 1595a des Bürgerlichen Gesetzbuchs erforderlich ist, erteilt werden.</w:t>
      </w:r>
    </w:p>
    <w:p>
      <w:r>
        <w:rPr>
          <w:color w:val="555555"/>
          <w:sz w:val="17"/>
        </w:rPr>
        <w:t xml:space="preserve">Zitiervorschlag: § 63 PStG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https://recht.nulegal.eu/gesetze/PStG/63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