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PStG — Allgemeine Vorschriften für die Benutzung</w:t>
      </w:r>
    </w:p>
    <w:p>
      <w:r>
        <w:rPr>
          <w:color w:val="555555"/>
          <w:sz w:val="18"/>
        </w:rPr>
        <w:t xml:space="preserve">Personenstandsgesetz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§§ 62 bis 66 gelten für die Benutzung der bei den Standesämtern geführten Personenstandsregister und Sammelakten bis zum Ablauf der in § 5 Abs. 5 festgelegten Fristen. Benutzung ist die Erteilung von Personenstandsurkunden aus einem Registereintrag, die Auskunft aus einem und die Einsicht in einen Registereintrag sowie die Durchsicht mehrerer Registereinträge; hierzu gehört auch eine entsprechende Verwendung der Sammelakten.</w:t>
      </w:r>
    </w:p>
    <w:p>
      <w:r>
        <w:t xml:space="preserve">(2) Nach Ablauf der in § 5 Abs. 5 festgelegten Fristen für die Führung der Personenstandsregister und Sammelakten sind die archivrechtlichen Vorschriften für die Benutzung maßgebend.</w:t>
      </w:r>
    </w:p>
    <w:p>
      <w:r>
        <w:rPr>
          <w:color w:val="555555"/>
          <w:sz w:val="17"/>
        </w:rPr>
        <w:t xml:space="preserve">Zitiervorschlag: § 61 PStG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https://recht.nulegal.eu/gesetze/PStG/61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