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PStG — Fortführung der Personenstandsregister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Registereinträge sind nach den Vorschriften dieses Gesetzes durch Folgebeurkundungen und Hinweise zu ergänzen und zu berichtigen (Fortführung).</w:t>
      </w:r>
    </w:p>
    <w:p>
      <w:r>
        <w:t xml:space="preserve">(2) Folgebeurkundungen sind Einträge, die den Beurkundungsinhalt verändern.</w:t>
      </w:r>
    </w:p>
    <w:p>
      <w:r>
        <w:t xml:space="preserve">(3) Hinweise stellen den Zusammenhang zwischen verschiedenen Beurkundungen her, die dieselbe Person, deren Ehegatten, Lebenspartner, Eltern oder Kinder betreffen.</w:t>
      </w:r>
    </w:p>
    <w:p>
      <w:r>
        <w:t xml:space="preserve">(4) Die Fortführung obliegt dem für die Führung des Personenstandsregisters (§ 3 Abs. 1) zuständigen Standesamt. Öffentliche Stellen haben diesem Standesamt Anlässe, die zu einer Folgebeurkundung oder zu einem Hinweis führen, mitzuteilen.</w:t>
      </w:r>
    </w:p>
    <w:p>
      <w:r>
        <w:t xml:space="preserve">(5) Für die Fortführung der Personenstandsregister und der Sicherungsregister gelten folgende Fristen:</w:t>
      </w:r>
    </w:p>
    <w:p>
      <w:pPr>
        <w:ind w:left="420"/>
      </w:pPr>
      <w:r>
        <w:t xml:space="preserve">1. für Eheregister und Lebenspartnerschaftsregister 80 Jahre;</w:t>
      </w:r>
    </w:p>
    <w:p>
      <w:pPr>
        <w:ind w:left="420"/>
      </w:pPr>
      <w:r>
        <w:t xml:space="preserve">2. für Geburtenregister 110 Jahre;</w:t>
      </w:r>
    </w:p>
    <w:p>
      <w:pPr>
        <w:ind w:left="420"/>
      </w:pPr>
      <w:r>
        <w:t xml:space="preserve">3. für Sterberegister 30 Jahre; für Sterberegister des Sonderstandesamts in Bad Arolsen 80 Jahre.</w:t>
      </w:r>
    </w:p>
    <w:p>
      <w:r>
        <w:rPr>
          <w:color w:val="555555"/>
          <w:sz w:val="17"/>
        </w:rPr>
        <w:t xml:space="preserve">Zitiervorschlag: § 5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