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PStG — Berichtigung auf Anordnung des Gerichts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Außer in den Fällen des § 47 darf ein abgeschlossener Registereintrag nur auf Anordnung des Gerichts berichtigt werden. Die Anordnung kann auch Fälle des § 47 umfassen.</w:t>
      </w:r>
    </w:p>
    <w:p>
      <w:r>
        <w:t xml:space="preserve">(2) Den Antrag auf Anordnung der Berichtigung können alle Beteiligten, das Standesamt und die Aufsichtsbehörde stellen. Sie sind vor der Entscheidung zu hören.</w:t>
      </w:r>
    </w:p>
    <w:p>
      <w:r>
        <w:rPr>
          <w:color w:val="555555"/>
          <w:sz w:val="17"/>
        </w:rPr>
        <w:t xml:space="preserve">Zitiervorschlag: § 48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