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PStG — Berichtigung nach Abschluss der Beurkundung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In einem abgeschlossenen Registereintrag sind offenkundige Schreibfehler zu berichtigen. Auf Grund öffentlicher Urkunden oder eigener Ermittlungen des Standesamts sind außerdem zu berichtigen</w:t>
      </w:r>
    </w:p>
    <w:p>
      <w:pPr>
        <w:ind w:left="420"/>
      </w:pPr>
      <w:r>
        <w:t xml:space="preserve">1. die in den Personenstandsregistern eingetragenen Hinweise,</w:t>
      </w:r>
    </w:p>
    <w:p>
      <w:pPr>
        <w:ind w:left="420"/>
      </w:pPr>
      <w:r>
        <w:t xml:space="preserve">2. fehlerhafte Übertragungen aus Urkunden, die der Eintragung zugrunde gelegen haben,</w:t>
      </w:r>
    </w:p>
    <w:p>
      <w:pPr>
        <w:ind w:left="420"/>
      </w:pPr>
      <w:r>
        <w:t xml:space="preserve">3. im Sterberegister die Angaben über den letzten Wohnsitz des Verstorbenen,</w:t>
      </w:r>
    </w:p>
    <w:p>
      <w:pPr>
        <w:ind w:left="420"/>
      </w:pPr>
      <w:r>
        <w:t xml:space="preserve">4. in allen Personenstandsregistern die Registrierungsdaten eines Personenstandseintrags,</w:t>
      </w:r>
    </w:p>
    <w:p>
      <w:pPr>
        <w:ind w:left="420"/>
      </w:pPr>
      <w:r>
        <w:t xml:space="preserve">5. in allen Personenstandsregistern die Elementbezeichnungen und Leittextangaben.</w:t>
      </w:r>
    </w:p>
    <w:p>
      <w:r>
        <w:t xml:space="preserve">Ferner können sonstige unrichtige oder unvollständige Eintragungen berichtigt werden, wenn der richtige oder vollständige Sachverhalt festgestellt wird durch</w:t>
      </w:r>
    </w:p>
    <w:p>
      <w:pPr>
        <w:ind w:left="420"/>
      </w:pPr>
      <w:r>
        <w:t xml:space="preserve">1. Personenstandsurkunden,</w:t>
      </w:r>
    </w:p>
    <w:p>
      <w:pPr>
        <w:ind w:left="420"/>
      </w:pPr>
      <w:r>
        <w:t xml:space="preserve">2. Dokumente des Heimatstaates, die zum Grenzübertritt berechtigen, soweit dadurch ein erläuternder Zusatz zur Identität oder zur Namensführung im Personenstandsregister gestrichen werden soll.</w:t>
      </w:r>
    </w:p>
    <w:p>
      <w:r>
        <w:t xml:space="preserve">Eintragungen auf Grund einer Anerkennung, die nach § 1594 Absatz 5 Satz 1 des Bürgerlichen Gesetzbuchs nicht wirksam war, sind zu berichtigen, wenn die Vaterschaft des anderen Mannes durch Gerichtsbeschluss festgestellt wird.</w:t>
      </w:r>
    </w:p>
    <w:p>
      <w:r>
        <w:t xml:space="preserve">(2) Gehen dem Standesamt berichtigende Mitteilungen oder Anzeigen zu, so sind außerdem zu berichtigen</w:t>
      </w:r>
    </w:p>
    <w:p>
      <w:pPr>
        <w:ind w:left="420"/>
      </w:pPr>
      <w:r>
        <w:t xml:space="preserve">1. im Geburtenregister die Angaben über Zeitpunkt und Ort der Geburt sowie das Geschlecht des Kindes, wenn die Geburt schriftlich angezeigt worden ist,</w:t>
      </w:r>
    </w:p>
    <w:p>
      <w:pPr>
        <w:ind w:left="420"/>
      </w:pPr>
      <w:r>
        <w:t xml:space="preserve">2. im Sterberegister die Angaben über Zeitpunkt und Ort des Todes, wenn der Sterbefall schriftlich angezeigt worden ist,</w:t>
      </w:r>
    </w:p>
    <w:p>
      <w:pPr>
        <w:ind w:left="420"/>
      </w:pPr>
      <w:r>
        <w:t xml:space="preserve">3. in allen Personenstandsregistern die Angaben über die Rechtskraft gerichtlicher Entscheidungen.</w:t>
      </w:r>
    </w:p>
    <w:p>
      <w:r>
        <w:t xml:space="preserve">(3) Bei Berichtigungen sind die Beteiligten vor der Änderung zu hören. Eine Anhörung unterbleibt in den Fällen des Absatzes 1 Satz 2 Nummer 1, 4 und 5 sowie des Absatzes 1 Satz 3 Nummer 2.</w:t>
      </w:r>
    </w:p>
    <w:p>
      <w:r>
        <w:t xml:space="preserve">(4) Die Berichtigung fehlerhafter Registrierungsdaten eines Eintrags erfolgt durch Kennzeichnung des entsprechenden Registereintrags und erneute Beurkundung. Die nach Satz 1 gekennzeichneten Registereinträge gelten als stillgelegt und dürfen nicht mehr verarbeitet werden. Die Registrierungsdaten eines stillgelegten Eintrags können wieder verwendet werden.</w:t>
      </w:r>
    </w:p>
    <w:p>
      <w:r>
        <w:rPr>
          <w:color w:val="555555"/>
          <w:sz w:val="17"/>
        </w:rPr>
        <w:t xml:space="preserve">Zitiervorschlag: § 47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