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PStG — Erklärungen zur Namensführung des Kindes</w:t>
      </w:r>
    </w:p>
    <w:p>
      <w:r>
        <w:rPr>
          <w:color w:val="555555"/>
          <w:sz w:val="18"/>
        </w:rPr>
        <w:t xml:space="preserve">Personenstandsgesetz</w:t>
      </w:r>
    </w:p>
    <w:p>
      <w:r>
        <w:rPr>
          <w:color w:val="555555"/>
          <w:sz w:val="18"/>
        </w:rPr>
        <w:t xml:space="preserve">Stand: 01.05.2025 (konsolidierte Textfassung, kein amtliches Inkrafttretensdatum)</w:t>
      </w:r>
    </w:p>
    <w:p>
      <w:r>
        <w:t xml:space="preserve">(1) Jede der folgenden Erklärungen kann auch von den Standesbeamten beglaubigt oder beurkundet werden:</w:t>
      </w:r>
    </w:p>
    <w:p>
      <w:pPr>
        <w:ind w:left="420"/>
      </w:pPr>
      <w:r>
        <w:t xml:space="preserve">1. Erklärung, durch die Eltern nach der Beurkundung der Geburt den Geburtsnamen des Kindes bestimmen oder, wenn sie keinen Geburtsnamen bestimmen, die Erklärung eines Elternteils, der den gesetzlich vorgegebenen Namen ablehnt,</w:t>
      </w:r>
    </w:p>
    <w:p>
      <w:pPr>
        <w:ind w:left="420"/>
      </w:pPr>
      <w:r>
        <w:t xml:space="preserve">2. Erklärung, durch die der Elternteil, dem die elterliche Sorge allein zusteht, dem Kind nur einen oder einige der Namen, aus denen der Familienname dieses Elternteils besteht, den Familiennamen des anderen Elternteils, einen aus den Namen beider Elternteile gebildeten Doppelnamen oder einen Geburtsnamen nach friesischer oder dänischer Tradition erteilt,</w:t>
      </w:r>
    </w:p>
    <w:p>
      <w:pPr>
        <w:ind w:left="420"/>
      </w:pPr>
      <w:r>
        <w:t xml:space="preserve">3. Erklärung, durch die ein Kind sich der Bestimmung seines Geburtsnamens durch die Eltern anschließt,</w:t>
      </w:r>
    </w:p>
    <w:p>
      <w:pPr>
        <w:ind w:left="420"/>
      </w:pPr>
      <w:r>
        <w:t xml:space="preserve">4. Erklärung, durch die ein Kind beantragt, den von seiner Mutter zur Zeit seiner Geburt geführten Familiennamen als Geburtsnamen zu erhalten, wenn es den Namen eines Mannes führt, von dem rechtskräftig festgestellt wurde, dass er nicht der Vater des Kindes ist,</w:t>
      </w:r>
    </w:p>
    <w:p>
      <w:pPr>
        <w:ind w:left="420"/>
      </w:pPr>
      <w:r>
        <w:t xml:space="preserve">5. Erklärung, durch die ein Mann den Antrag nach Nummer 4 stellt, wenn das Kind das fünfte Lebensjahr noch nicht vollendet hat,</w:t>
      </w:r>
    </w:p>
    <w:p>
      <w:pPr>
        <w:ind w:left="420"/>
      </w:pPr>
      <w:r>
        <w:t xml:space="preserve">6. Erklärung, durch die ein Kind sich der Änderung des Namens der Eltern oder eines Elternteils anschließt,</w:t>
      </w:r>
    </w:p>
    <w:p>
      <w:pPr>
        <w:ind w:left="420"/>
      </w:pPr>
      <w:r>
        <w:t xml:space="preserve">7. Erklärung, durch die der Elternteil, dem die elterliche Sorge allein oder gemeinsam mit dem anderen Elternteil zusteht, dem Kind seinen nach Scheidung vom anderen Elternteil oder Tod des anderen Elternteils wieder angenommenen Namen oder einen aus seinem wieder angenommenen Namen und dem von dem Kind zur Zeit der Erklärung geführten Geburtsnamen gebildeten Doppelnamen erteilt,</w:t>
      </w:r>
    </w:p>
    <w:p>
      <w:pPr>
        <w:ind w:left="420"/>
      </w:pPr>
      <w:r>
        <w:t xml:space="preserve">8. Erklärung, durch die der Elternteil, dem die elterliche Sorge für das Kind allein oder gemeinsam mit dem anderen Elternteil zusteht, und sein Ehegatte, der nicht Elternteil des Kindes ist, das Kind einbenennen,</w:t>
      </w:r>
    </w:p>
    <w:p>
      <w:pPr>
        <w:ind w:left="420"/>
      </w:pPr>
      <w:r>
        <w:t xml:space="preserve">9. Erklärung, durch die ein Elternteil, dem die elterliche Sorge für das Kind allein oder gemeinsam mit dem anderen Elternteil zusteht, das Kind rückbenennt oder durch die das volljährige Kind sich rückbenennt,</w:t>
      </w:r>
    </w:p>
    <w:p>
      <w:pPr>
        <w:ind w:left="420"/>
      </w:pPr>
      <w:r>
        <w:t xml:space="preserve">10. Erklärung, durch die ein Elternteil nach der Beurkundung der Geburt den Geburtsnamen des Kindes dem Geschlecht des Kindes anpasst, durch die das volljährige Kind seinen Geburtsnamen seinem Geschlecht anpasst oder durch die eine solche Erklärung widerrufen wird,</w:t>
      </w:r>
    </w:p>
    <w:p>
      <w:pPr>
        <w:ind w:left="420"/>
      </w:pPr>
      <w:r>
        <w:t xml:space="preserve">11. Erklärung, durch die eine volljährige Person ihren Geburtsnamen neu bestimmt.</w:t>
      </w:r>
    </w:p>
    <w:p>
      <w:r>
        <w:t xml:space="preserve">Satz 1 gilt auch für die etwa erforderliche Einwilligung eines Elternteils oder des Kindes oder Zustimmung des gesetzlichen Vertreters zu einer der in Satz 1 genannten Erklärungen.</w:t>
      </w:r>
    </w:p>
    <w:p>
      <w:r>
        <w:t xml:space="preserve">(2) Zur Entgegennahme der Erklärungen ist das Standesamt zuständig, das das Geburtenregister, in dem die Geburt des Kindes beurkundet ist, führt. Ist die Geburt des Kindes nicht in einem deutschen Geburtenregister beurkundet, so ist das Standesamt zuständig, in dessen Zuständigkeitsbereich das Kind oder ein Elternteil seinen Wohnsitz hat oder zuletzt hatte oder seinen gewöhnlichen Aufenthalt hat. Ergibt sich danach keine Zuständigkeit, so ist das Standesamt I in Berlin zuständig. Das Standesamt I in Berlin führt ein Verzeichnis der nach den Sätzen 2 und 3 entgegengenommenen Erklärungen.</w:t>
      </w:r>
    </w:p>
    <w:p>
      <w:r>
        <w:t xml:space="preserve">(3) § 23 des Lebenspartnerschaftsgesetzes bleibt unberührt.</w:t>
      </w:r>
    </w:p>
    <w:p>
      <w:r>
        <w:rPr>
          <w:color w:val="555555"/>
          <w:sz w:val="17"/>
        </w:rPr>
        <w:t xml:space="preserve">Zitiervorschlag: § 45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