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PStG — Erklärungen zur Anerkennung der Vaterschaft und der Mutterschaft</w:t>
      </w:r>
    </w:p>
    <w:p>
      <w:r>
        <w:rPr>
          <w:color w:val="555555"/>
          <w:sz w:val="18"/>
        </w:rPr>
        <w:t xml:space="preserve">Personenstandsgesetz</w:t>
      </w:r>
    </w:p>
    <w:p>
      <w:r>
        <w:rPr>
          <w:color w:val="555555"/>
          <w:sz w:val="18"/>
        </w:rPr>
        <w:t xml:space="preserve">Stand: 29.07.2026 (konsolidierte Textfassung, kein amtliches Inkrafttretensdatum)</w:t>
      </w:r>
    </w:p>
    <w:p>
      <w:r>
        <w:t xml:space="preserve">(1) Die Erklärung, durch welche die Vaterschaft zu einem Kind anerkannt wird, sowie die Zustimmungserklärung der Mutter können auch von den Standesbeamten beurkundet werden. Gleiches gilt für die etwa erforderliche Zustimmung des Kindes, des gesetzlichen Vertreters oder des Mannes, der dem Kind bislang als Vater zugeordnet war, zu einer solchen Erklärung.</w:t>
      </w:r>
    </w:p>
    <w:p>
      <w:r>
        <w:t xml:space="preserve">(2) Die Erklärung, durch welche die Mutterschaft zu einem Kind anerkannt wird, und die etwa erforderliche Zustimmungserklärung des gesetzlichen Vertreters der Mutter können auch von den Standesbeamten beurkundet werden.</w:t>
      </w:r>
    </w:p>
    <w:p>
      <w:r>
        <w:t xml:space="preserve">(3) Dem Standesamt, das den Geburtseintrag des Kindes führt, ist vorbehaltlich des § 46 Absatz 2 Satz 2 der Personenstandsverordnung eine beglaubigte Abschrift der Erklärungen sowie eine vorliegende Entscheidung über die Zustimmung der Ausländerbehörde zur Anerkennung der Vaterschaft gemäß § 85a des Aufenthaltsgesetzes zu übermitteln. Ist die Geburt des Kindes nicht im Inland beurkundet, so ist die Abschrift nach Satz 1 dem Standesamt I in Berlin zu übersenden, über eine Entscheidung zur Zustimmung der Ausländerbehörde nach Satz 1 wird das Standesamt I in Berlin benachrichtigt. Das Standesamt I in Berlin führt ein Verzeichnis der nach den Sätzen 1 und 2 eingegangenen Entscheidungen.</w:t>
      </w:r>
    </w:p>
    <w:p>
      <w:r>
        <w:t xml:space="preserve">(4) Sind der Anerkennende oder die Mutter nicht deutsche Staatsangehörige und wird das Standesamt nicht zugleich um Eintragung der Vaterschaft im Geburtseintrag des Kindes ersucht, so hat das Standesamt bei der Beurkundung den Anerkennenden und die Mutter</w:t>
      </w:r>
    </w:p>
    <w:p>
      <w:pPr>
        <w:ind w:left="420"/>
      </w:pPr>
      <w:r>
        <w:t xml:space="preserve">1. darauf hinzuweisen, dass die Wirksamkeit der Anerkennung der Vaterschaft und der Zustimmung der Mutter nach § 1598 des Bürgerlichen Gesetzbuchs von der Zustimmung der Ausländerbehörde zur Anerkennung der Vaterschaft abhängen kann, und</w:t>
      </w:r>
    </w:p>
    <w:p>
      <w:pPr>
        <w:ind w:left="420"/>
      </w:pPr>
      <w:r>
        <w:t xml:space="preserve">2. an die zuständige Ausländerbehörde zu verweisen.</w:t>
      </w:r>
    </w:p>
    <w:p>
      <w:r>
        <w:rPr>
          <w:color w:val="555555"/>
          <w:sz w:val="17"/>
        </w:rPr>
        <w:t xml:space="preserve">Zitiervorschlag: § 44 PStG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