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PStG — Sicherungsregister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Beurkundungen in einem Personenstandsregister sind nach ihrem Abschluss (§ 3 Abs. 2) in einem weiteren elektronischen Register (Sicherungsregister) zu speichern.</w:t>
      </w:r>
    </w:p>
    <w:p>
      <w:r>
        <w:t xml:space="preserve">(2) Das Sicherungsregister ist wie das Personenstandsregister am Ende des Jahres abzuschließen. Es ist nach Fortführung des Personenstandsregisters zu aktualisieren.</w:t>
      </w:r>
    </w:p>
    <w:p>
      <w:r>
        <w:rPr>
          <w:color w:val="555555"/>
          <w:sz w:val="17"/>
        </w:rPr>
        <w:t xml:space="preserve">Zitiervorschlag: § 4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