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PStG — Eheschließungen im Ausland oder vor ermächtigten Personen im Inland</w:t>
      </w:r>
    </w:p>
    <w:p>
      <w:r>
        <w:rPr>
          <w:color w:val="555555"/>
          <w:sz w:val="18"/>
        </w:rPr>
        <w:t xml:space="preserve">Personenstandsgesetz</w:t>
      </w:r>
    </w:p>
    <w:p>
      <w:r>
        <w:rPr>
          <w:color w:val="555555"/>
          <w:sz w:val="18"/>
        </w:rPr>
        <w:t xml:space="preserve">Stand: 10.06.2019 (konsolidierte Textfassung, kein amtliches Inkrafttretensdatum)</w:t>
      </w:r>
    </w:p>
    <w:p>
      <w:r>
        <w:t xml:space="preserve">(1) Hat ein Deutscher im Ausland die Ehe geschlossen, so kann die Eheschließung auf Antrag im Eheregister beurkundet werden; für den Besitz der deutschen Staatsangehörigkeit ist der Zeitpunkt der Antragstellung maßgebend. Die §§ 3 bis 7, 9, 10, 15 und 16 gelten entsprechend. Gleiches gilt für Staatenlose, heimatlose Ausländer und ausländische Flüchtlinge im Sinne des Abkommens über die Rechtsstellung der Flüchtlinge vom 28. Juli 1951 (BGBl. 1953 II S. 559) mit gewöhnlichem Aufenthalt im Inland. Antragsberechtigt sind die Ehegatten, sind beide verstorben, deren Eltern und Kinder.</w:t>
      </w:r>
    </w:p>
    <w:p>
      <w:r>
        <w:t xml:space="preserve">(2) Die Beurkundung der Eheschließung nach Absatz 1 erfolgt auch dann, wenn die Ehe im Inland zwischen Eheschließenden, von denen keiner Deutscher ist, vor einer von der Regierung des Staates, dem einer der Eheschließenden angehört, ordnungsgemäß ermächtigten Person in der nach dem Recht dieses Staates vorgeschriebenen Form geschlossen worden ist.</w:t>
      </w:r>
    </w:p>
    <w:p>
      <w:r>
        <w:t xml:space="preserve">(3) Personen, die eine Erklärung nach § 94 des Bundesvertriebenengesetzes abgegeben haben, sind nur mit den nach dieser Erklärung geführten Vornamen und Familiennamen einzutragen; dies gilt entsprechend für Vertriebene und Spätaussiedler, deren Name nach den Vorschiften des Gesetzes über die Änderung von Familiennamen und Vornamen geändert worden ist.</w:t>
      </w:r>
    </w:p>
    <w:p>
      <w:r>
        <w:t xml:space="preserve">(4) Zuständig für die Beurkundung ist das Standesamt, in dessen Zuständigkeitsbereich die antragsberechtigte Person ihren Wohnsitz hat oder zuletzt hatte oder ihren gewöhnlichen Aufenthalt hat. Ergibt sich danach keine Zuständigkeit, so beurkundet das Standesamt I in Berlin die Eheschließung.</w:t>
      </w:r>
    </w:p>
    <w:p>
      <w:r>
        <w:t xml:space="preserve">(5) Das Standesamt I in Berlin führt ein Verzeichnis der nach den Absätzen 1 und 2 beurkundeten Eheschließungen.</w:t>
      </w:r>
    </w:p>
    <w:p>
      <w:r>
        <w:rPr>
          <w:color w:val="555555"/>
          <w:sz w:val="17"/>
        </w:rPr>
        <w:t xml:space="preserve">Zitiervorschlag: § 34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