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PStG — Anzeige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01.11.2022 (konsolidierte Textfassung, kein amtliches Inkrafttretensdatum)</w:t>
      </w:r>
    </w:p>
    <w:p>
      <w:r>
        <w:t xml:space="preserve">Der Tod eines Menschen muss dem Standesamt, in dessen Zuständigkeitsbereich er gestorben ist,</w:t>
      </w:r>
    </w:p>
    <w:p>
      <w:pPr>
        <w:ind w:left="420"/>
      </w:pPr>
      <w:r>
        <w:t xml:space="preserve">1. von den in § 29 genannten Personen mündlich oder schriftlich, oder</w:t>
      </w:r>
    </w:p>
    <w:p>
      <w:pPr>
        <w:ind w:left="420"/>
      </w:pPr>
      <w:r>
        <w:t xml:space="preserve">2. von den in § 30 Abs. 1 genannten Einrichtungen schriftlich</w:t>
      </w:r>
    </w:p>
    <w:p>
      <w:r>
        <w:t xml:space="preserve">spätestens am dritten auf den Tod folgenden Werktag angezeigt werden.</w:t>
      </w:r>
    </w:p>
    <w:p>
      <w:r>
        <w:rPr>
          <w:color w:val="555555"/>
          <w:sz w:val="17"/>
        </w:rPr>
        <w:t xml:space="preserve">Zitiervorschlag: § 28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