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PStG — Findelkind</w:t>
      </w:r>
    </w:p>
    <w:p>
      <w:r>
        <w:rPr>
          <w:color w:val="555555"/>
          <w:sz w:val="18"/>
        </w:rPr>
        <w:t xml:space="preserve">Personenstandsgesetz</w:t>
      </w:r>
    </w:p>
    <w:p>
      <w:r>
        <w:rPr>
          <w:color w:val="555555"/>
          <w:sz w:val="18"/>
        </w:rPr>
        <w:t xml:space="preserve">Stand: 10.06.2019 (konsolidierte Textfassung, kein amtliches Inkrafttretensdatum)</w:t>
      </w:r>
    </w:p>
    <w:p>
      <w:r>
        <w:t xml:space="preserve">(1) Wer ein neugeborenes Kind findet, muss dies spätestens am folgenden Tag der Gemeindebehörde anzeigen. Diese stellt die erforderlichen Ermittlungen an und benachrichtigt von dem Ergebnis alsbald die zuständige Verwaltungsbehörde.</w:t>
      </w:r>
    </w:p>
    <w:p>
      <w:r>
        <w:t xml:space="preserve">(2) Die zuständige Verwaltungsbehörde setzt nach Anhörung des Gesundheitsamts den vermutlichen Ort und Tag der Geburt fest und bestimmt die Vornamen und den Familiennamen des Kindes. Auf ihre schriftliche Anordnung wird die Geburt in dem Geburtenregister des für den festgesetzten Geburtsort zuständigen Standesamts beurkundet. Liegt der Geburtsort im Ausland, so ist das Standesamt, in dessen Bezirk das Kind aufgefunden worden ist, für die Beurkundung zuständig.</w:t>
      </w:r>
    </w:p>
    <w:p>
      <w:r>
        <w:rPr>
          <w:color w:val="555555"/>
          <w:sz w:val="17"/>
        </w:rPr>
        <w:t xml:space="preserve">Zitiervorschlag: § 24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